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AE4" w14:textId="7A442EA3" w:rsidR="001A1ED7" w:rsidRPr="0025068F" w:rsidRDefault="001A1ED7" w:rsidP="001A1ED7">
      <w:pPr>
        <w:jc w:val="right"/>
        <w:rPr>
          <w:rFonts w:asciiTheme="minorHAnsi" w:hAnsiTheme="minorHAnsi" w:cstheme="minorHAnsi"/>
          <w:sz w:val="16"/>
          <w:szCs w:val="16"/>
        </w:rPr>
      </w:pPr>
      <w:r w:rsidRPr="0025068F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AC2DEE">
        <w:rPr>
          <w:rFonts w:asciiTheme="minorHAnsi" w:hAnsiTheme="minorHAnsi" w:cstheme="minorHAnsi"/>
          <w:sz w:val="16"/>
          <w:szCs w:val="16"/>
        </w:rPr>
        <w:t>2b</w:t>
      </w:r>
    </w:p>
    <w:p w14:paraId="60D87775" w14:textId="37734523" w:rsidR="00603BCB" w:rsidRPr="0025068F" w:rsidRDefault="00603BCB" w:rsidP="001A1ED7">
      <w:pPr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5C30250F" w14:textId="77777777" w:rsidR="006C5524" w:rsidRPr="0025068F" w:rsidRDefault="006C5524" w:rsidP="001A1ED7">
      <w:pPr>
        <w:jc w:val="right"/>
        <w:rPr>
          <w:rFonts w:asciiTheme="minorHAnsi" w:hAnsiTheme="minorHAnsi" w:cstheme="minorHAnsi"/>
          <w:bCs/>
          <w:sz w:val="16"/>
          <w:szCs w:val="16"/>
        </w:rPr>
      </w:pPr>
    </w:p>
    <w:p w14:paraId="4C815831" w14:textId="57B3DAE1" w:rsidR="00E71F68" w:rsidRDefault="00E71F68" w:rsidP="00E71F68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Szczegółowy opis przedmiotu zamówienia – Część II - Laptopy typ B – 3</w:t>
      </w:r>
      <w:r w:rsidR="00CA5522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 xml:space="preserve"> szt.</w:t>
      </w:r>
    </w:p>
    <w:p w14:paraId="5F4672CD" w14:textId="752FC8F2" w:rsidR="005E5DDC" w:rsidRPr="0025068F" w:rsidRDefault="005E5DDC" w:rsidP="005E5DDC">
      <w:pPr>
        <w:spacing w:line="360" w:lineRule="auto"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tbl>
      <w:tblPr>
        <w:tblW w:w="45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187"/>
        <w:gridCol w:w="6739"/>
      </w:tblGrid>
      <w:tr w:rsidR="005E5DDC" w:rsidRPr="0025068F" w14:paraId="5259E07B" w14:textId="77777777" w:rsidTr="00232220">
        <w:trPr>
          <w:cantSplit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CAF0B86" w14:textId="3F33958D" w:rsidR="005E5DDC" w:rsidRPr="0025068F" w:rsidRDefault="005E5DDC" w:rsidP="00232220">
            <w:pPr>
              <w:ind w:left="-7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/>
                <w:sz w:val="16"/>
                <w:szCs w:val="16"/>
              </w:rPr>
              <w:t>Komputer przenośny 1</w:t>
            </w:r>
            <w:r w:rsidR="00F04D3B" w:rsidRPr="0025068F">
              <w:rPr>
                <w:rFonts w:asciiTheme="minorHAnsi" w:hAnsiTheme="minorHAnsi" w:cstheme="minorHAnsi"/>
                <w:b/>
                <w:sz w:val="16"/>
                <w:szCs w:val="16"/>
              </w:rPr>
              <w:t>3,3</w:t>
            </w:r>
            <w:r w:rsidRPr="0025068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cali (wymagania minimalne)</w:t>
            </w:r>
          </w:p>
        </w:tc>
      </w:tr>
      <w:tr w:rsidR="005E5DDC" w:rsidRPr="0025068F" w14:paraId="24EF0B7D" w14:textId="77777777" w:rsidTr="00232220">
        <w:trPr>
          <w:cantSplit/>
          <w:jc w:val="center"/>
        </w:trPr>
        <w:tc>
          <w:tcPr>
            <w:tcW w:w="1225" w:type="pct"/>
          </w:tcPr>
          <w:p w14:paraId="5D05AF7D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Ekran</w:t>
            </w:r>
          </w:p>
        </w:tc>
        <w:tc>
          <w:tcPr>
            <w:tcW w:w="3775" w:type="pct"/>
          </w:tcPr>
          <w:p w14:paraId="3E2A4253" w14:textId="08E02A3B" w:rsidR="005E5DDC" w:rsidRPr="0025068F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przekątna minimalna </w:t>
            </w:r>
            <w:r w:rsidR="002B5A72" w:rsidRPr="0025068F">
              <w:rPr>
                <w:rFonts w:asciiTheme="minorHAnsi" w:hAnsiTheme="minorHAnsi" w:cstheme="minorHAnsi"/>
                <w:sz w:val="16"/>
                <w:szCs w:val="16"/>
              </w:rPr>
              <w:t>13” i nie większa niż 13,5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”, </w:t>
            </w:r>
          </w:p>
          <w:p w14:paraId="763F43EA" w14:textId="77777777" w:rsidR="005E5DDC" w:rsidRPr="0025068F" w:rsidRDefault="005E5DDC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rozdzielczość minimalna 1920 x 1080, </w:t>
            </w:r>
          </w:p>
          <w:p w14:paraId="624F964B" w14:textId="569C4526" w:rsidR="005E5DDC" w:rsidRPr="0025068F" w:rsidRDefault="000D5A50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matryca dotykowa</w:t>
            </w:r>
            <w:r w:rsidR="006448F2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matowa</w:t>
            </w:r>
          </w:p>
          <w:p w14:paraId="741D5912" w14:textId="29E0D7F6" w:rsidR="00F04D3B" w:rsidRPr="0025068F" w:rsidRDefault="00F04D3B" w:rsidP="005E5DDC">
            <w:pPr>
              <w:numPr>
                <w:ilvl w:val="0"/>
                <w:numId w:val="5"/>
              </w:numPr>
              <w:ind w:left="146" w:hanging="142"/>
              <w:contextualSpacing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min.300 </w:t>
            </w:r>
            <w:proofErr w:type="spellStart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nits</w:t>
            </w:r>
            <w:proofErr w:type="spellEnd"/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29ACE658" w14:textId="77777777" w:rsidTr="00232220">
        <w:trPr>
          <w:cantSplit/>
          <w:jc w:val="center"/>
        </w:trPr>
        <w:tc>
          <w:tcPr>
            <w:tcW w:w="1225" w:type="pct"/>
          </w:tcPr>
          <w:p w14:paraId="01988F4F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Typ procesora</w:t>
            </w:r>
          </w:p>
        </w:tc>
        <w:tc>
          <w:tcPr>
            <w:tcW w:w="3775" w:type="pct"/>
          </w:tcPr>
          <w:p w14:paraId="54BE7575" w14:textId="31C9B343" w:rsidR="005E5DDC" w:rsidRPr="0025068F" w:rsidRDefault="005E5DDC" w:rsidP="00232220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x86 dedykowany do pracy w komputerach przenośnych zaprojektowany do pracy w układach jednoprocesorowych</w:t>
            </w:r>
            <w:r w:rsidR="00A0701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 </w:t>
            </w:r>
            <w:r w:rsidR="006448F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fabrycznie uruchomioną</w:t>
            </w:r>
            <w:r w:rsidR="006448F2" w:rsidRPr="0025068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="006448F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funkcja</w:t>
            </w:r>
            <w:r w:rsidR="004A557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zarządzania</w:t>
            </w:r>
            <w:r w:rsidR="006448F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technologią </w:t>
            </w:r>
            <w:proofErr w:type="spellStart"/>
            <w:r w:rsidR="00A07012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vpro</w:t>
            </w:r>
            <w:proofErr w:type="spellEnd"/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25068F" w14:paraId="25B43DB4" w14:textId="77777777" w:rsidTr="00232220">
        <w:trPr>
          <w:cantSplit/>
          <w:trHeight w:val="142"/>
          <w:jc w:val="center"/>
        </w:trPr>
        <w:tc>
          <w:tcPr>
            <w:tcW w:w="1225" w:type="pct"/>
          </w:tcPr>
          <w:p w14:paraId="690D7EEE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Wydajność procesora</w:t>
            </w:r>
          </w:p>
        </w:tc>
        <w:tc>
          <w:tcPr>
            <w:tcW w:w="3775" w:type="pct"/>
          </w:tcPr>
          <w:p w14:paraId="7C810B3D" w14:textId="0FA088B1" w:rsidR="003F37EE" w:rsidRPr="003F37EE" w:rsidRDefault="00CA5522" w:rsidP="003F37EE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Procesor m</w:t>
            </w:r>
            <w:r w:rsidR="003F37EE" w:rsidRPr="003F37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usi uzyskiwać w teście </w:t>
            </w:r>
            <w:proofErr w:type="spellStart"/>
            <w:r w:rsidR="003F37EE" w:rsidRPr="003F37EE">
              <w:rPr>
                <w:rFonts w:asciiTheme="minorHAnsi" w:hAnsiTheme="minorHAnsi" w:cstheme="minorHAnsi"/>
                <w:bCs/>
                <w:sz w:val="16"/>
                <w:szCs w:val="16"/>
              </w:rPr>
              <w:t>Passmark</w:t>
            </w:r>
            <w:proofErr w:type="spellEnd"/>
            <w:r w:rsidR="003F37EE" w:rsidRPr="003F37E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(według wyników ze strony www.cpubenchmark.net ): nie mniej niż 1</w:t>
            </w:r>
            <w:r w:rsidR="003F37EE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3F37EE">
              <w:rPr>
                <w:rFonts w:asciiTheme="minorHAnsi" w:hAnsiTheme="minorHAnsi" w:cstheme="minorHAnsi"/>
                <w:bCs/>
                <w:sz w:val="16"/>
                <w:szCs w:val="16"/>
              </w:rPr>
              <w:t>3</w:t>
            </w:r>
            <w:r w:rsidR="003F37EE" w:rsidRPr="003F37EE">
              <w:rPr>
                <w:rFonts w:asciiTheme="minorHAnsi" w:hAnsiTheme="minorHAnsi" w:cstheme="minorHAnsi"/>
                <w:bCs/>
                <w:sz w:val="16"/>
                <w:szCs w:val="16"/>
              </w:rPr>
              <w:t>00 pkt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  <w:p w14:paraId="45CB5CCF" w14:textId="1CA89A96" w:rsidR="005E5DDC" w:rsidRPr="0025068F" w:rsidRDefault="003F37EE" w:rsidP="003F37EE">
            <w:pPr>
              <w:ind w:left="58"/>
              <w:jc w:val="both"/>
              <w:rPr>
                <w:rFonts w:asciiTheme="minorHAnsi" w:eastAsia="Calibri" w:hAnsiTheme="minorHAnsi" w:cstheme="minorHAnsi"/>
                <w:bCs/>
                <w:color w:val="7030A0"/>
                <w:sz w:val="16"/>
                <w:szCs w:val="16"/>
              </w:rPr>
            </w:pPr>
            <w:r w:rsidRPr="003F37EE">
              <w:rPr>
                <w:rFonts w:asciiTheme="minorHAnsi" w:hAnsiTheme="minorHAnsi" w:cstheme="minorHAnsi"/>
                <w:bCs/>
                <w:sz w:val="16"/>
                <w:szCs w:val="16"/>
              </w:rPr>
              <w:t>Wykonawca załączy do oferty wydruk ze strony https://www.cpubenchmark.net/ wykonany w dniu sporządzania oferty ze wskazaniem wiersza odpowiadającego właściwemu wynikowi testów. Wydruk musi być podpisany przez Wykonawcę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25068F" w14:paraId="175C62C6" w14:textId="77777777" w:rsidTr="00232220">
        <w:trPr>
          <w:cantSplit/>
          <w:trHeight w:val="359"/>
          <w:jc w:val="center"/>
        </w:trPr>
        <w:tc>
          <w:tcPr>
            <w:tcW w:w="1225" w:type="pct"/>
          </w:tcPr>
          <w:p w14:paraId="0EAFE754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BIOS </w:t>
            </w:r>
          </w:p>
        </w:tc>
        <w:tc>
          <w:tcPr>
            <w:tcW w:w="3775" w:type="pct"/>
          </w:tcPr>
          <w:p w14:paraId="0D4A3931" w14:textId="11BCC79F" w:rsidR="005E5DDC" w:rsidRPr="0025068F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BIOS zgodny ze specyfikacją UEFI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7380BEB3" w14:textId="2726AFBE" w:rsidR="005E5DDC" w:rsidRPr="0025068F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 wejścia do BIOS oraz blokowania startu systemu operacyjnego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2D20D82F" w14:textId="745775D9" w:rsidR="005E5DDC" w:rsidRPr="0025068F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Funkcja blokowania/odblokowania BOOT-</w:t>
            </w:r>
            <w:proofErr w:type="spellStart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owania</w:t>
            </w:r>
            <w:proofErr w:type="spellEnd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z zewnętrznych urządzeń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60123FFD" w14:textId="77777777" w:rsidR="005E5DDC" w:rsidRPr="0025068F" w:rsidRDefault="005E5DDC" w:rsidP="005E5DDC">
            <w:pPr>
              <w:numPr>
                <w:ilvl w:val="0"/>
                <w:numId w:val="2"/>
              </w:numPr>
              <w:ind w:left="146" w:hanging="146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odczytania z BIOS, bez konieczności uruchamiania systemu operacyjnego z dysku twardego komputera lub innych podłączonych do niego urządzeń zewnętrznych, informacji o: </w:t>
            </w:r>
          </w:p>
          <w:p w14:paraId="372DC09A" w14:textId="77777777" w:rsidR="005E5DDC" w:rsidRPr="0025068F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wersji BIOS, </w:t>
            </w:r>
          </w:p>
          <w:p w14:paraId="714298CD" w14:textId="77777777" w:rsidR="005E5DDC" w:rsidRPr="0025068F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nr seryjnym komputera, </w:t>
            </w:r>
          </w:p>
          <w:p w14:paraId="22ECEDE8" w14:textId="77777777" w:rsidR="005E5DDC" w:rsidRPr="0025068F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ilości pamięciami RAM, </w:t>
            </w:r>
          </w:p>
          <w:p w14:paraId="766F9374" w14:textId="70F13DFB" w:rsidR="005E5DDC" w:rsidRPr="0025068F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typie procesora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,</w:t>
            </w:r>
          </w:p>
          <w:p w14:paraId="3178AF7E" w14:textId="757A3BBE" w:rsidR="005E5DDC" w:rsidRPr="0025068F" w:rsidRDefault="005E5DDC" w:rsidP="005E5DDC">
            <w:pPr>
              <w:numPr>
                <w:ilvl w:val="0"/>
                <w:numId w:val="3"/>
              </w:numPr>
              <w:ind w:left="288" w:hanging="142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pojemności zainstalowanego dysku twardego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7DF15368" w14:textId="5A1D1A15" w:rsidR="005E5DDC" w:rsidRPr="00F535AB" w:rsidRDefault="005E5DDC" w:rsidP="00F535AB">
            <w:pPr>
              <w:pStyle w:val="Akapitzlist"/>
              <w:numPr>
                <w:ilvl w:val="0"/>
                <w:numId w:val="3"/>
              </w:numPr>
              <w:ind w:left="146" w:hanging="146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535AB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włączenia/wyłączenia, karty sieciowej z poziomu BIOS, bez konieczności uruchamiania systemu operacyjnego z dysku twardego komputera lub innych, podłączonych do niego, urządzeń zewnętrznych,</w:t>
            </w:r>
            <w:r w:rsidR="00F535AB">
              <w:t xml:space="preserve"> </w:t>
            </w:r>
            <w:r w:rsidR="00F535AB" w:rsidRPr="00F535AB">
              <w:rPr>
                <w:rFonts w:asciiTheme="minorHAnsi" w:hAnsiTheme="minorHAnsi" w:cstheme="minorHAnsi"/>
                <w:bCs/>
                <w:sz w:val="16"/>
                <w:szCs w:val="16"/>
              </w:rPr>
              <w:t>jeżeli karta jest wbudowana w urządzenie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2E19A66E" w14:textId="1E8D22E0" w:rsidR="005E5DDC" w:rsidRPr="0025068F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Możliwość ustawienia portów USB w trybie „no BOOT”, czyli podczas startu komputer nie będzie wykrywał urządzeń </w:t>
            </w:r>
            <w:proofErr w:type="spellStart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bootujących</w:t>
            </w:r>
            <w:proofErr w:type="spellEnd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typu USB, natomiast po uruchomieniu systemu operacyjnego porty USB będą aktywne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2912A84C" w14:textId="66DE18C7" w:rsidR="005E5DDC" w:rsidRPr="0025068F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wyłączania portów USB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4BCF3962" w14:textId="71697B82" w:rsidR="005E5DDC" w:rsidRPr="0025068F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Klucz licencyjny systemu operacyjnego zapisany w BIOS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67D95345" w14:textId="77777777" w:rsidR="005E5DDC" w:rsidRPr="0025068F" w:rsidRDefault="005E5DDC" w:rsidP="005E5DDC">
            <w:pPr>
              <w:numPr>
                <w:ilvl w:val="0"/>
                <w:numId w:val="3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Aktualizacja BIOS ze strony WWW producenta komputera nie może usunąć wprowadzonej konfiguracji oraz w/w informacji o sprzęcie.</w:t>
            </w:r>
          </w:p>
        </w:tc>
      </w:tr>
      <w:tr w:rsidR="005E5DDC" w:rsidRPr="0025068F" w14:paraId="2219A089" w14:textId="77777777" w:rsidTr="00232220">
        <w:trPr>
          <w:cantSplit/>
          <w:trHeight w:val="203"/>
          <w:jc w:val="center"/>
        </w:trPr>
        <w:tc>
          <w:tcPr>
            <w:tcW w:w="1225" w:type="pct"/>
          </w:tcPr>
          <w:p w14:paraId="4E45FE33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Pamięć RAM</w:t>
            </w:r>
          </w:p>
        </w:tc>
        <w:tc>
          <w:tcPr>
            <w:tcW w:w="3775" w:type="pct"/>
          </w:tcPr>
          <w:p w14:paraId="6E35D42C" w14:textId="75B0539A" w:rsidR="005E5DDC" w:rsidRPr="0025068F" w:rsidRDefault="005E5DDC" w:rsidP="005E5DDC">
            <w:pPr>
              <w:numPr>
                <w:ilvl w:val="0"/>
                <w:numId w:val="6"/>
              </w:numPr>
              <w:ind w:left="146" w:hanging="142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min.16 GB DDR</w:t>
            </w:r>
            <w:r w:rsidR="009D39CA" w:rsidRPr="0025068F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9D39CA" w:rsidRPr="0025068F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00MHz lub nowsze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2BD35E31" w14:textId="77777777" w:rsidTr="00232220">
        <w:trPr>
          <w:cantSplit/>
          <w:jc w:val="center"/>
        </w:trPr>
        <w:tc>
          <w:tcPr>
            <w:tcW w:w="1225" w:type="pct"/>
          </w:tcPr>
          <w:p w14:paraId="4C3067AF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Dysk twardy</w:t>
            </w:r>
          </w:p>
        </w:tc>
        <w:tc>
          <w:tcPr>
            <w:tcW w:w="3775" w:type="pct"/>
          </w:tcPr>
          <w:p w14:paraId="78067C16" w14:textId="08843F59" w:rsidR="005E5DDC" w:rsidRPr="0025068F" w:rsidRDefault="005E5DDC" w:rsidP="002B5A72">
            <w:pPr>
              <w:ind w:left="58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min. 512 GB SSD</w:t>
            </w:r>
            <w:r w:rsidRPr="0025068F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proofErr w:type="spellStart"/>
            <w:r w:rsidR="002B5A72" w:rsidRPr="0025068F">
              <w:rPr>
                <w:rFonts w:asciiTheme="minorHAnsi" w:hAnsiTheme="minorHAnsi" w:cstheme="minorHAnsi"/>
                <w:sz w:val="16"/>
                <w:szCs w:val="16"/>
              </w:rPr>
              <w:t>NVMe</w:t>
            </w:r>
            <w:proofErr w:type="spellEnd"/>
            <w:r w:rsidR="002B5A72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class35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4D8A7EB0" w14:textId="77777777" w:rsidTr="00232220">
        <w:trPr>
          <w:cantSplit/>
          <w:jc w:val="center"/>
        </w:trPr>
        <w:tc>
          <w:tcPr>
            <w:tcW w:w="1225" w:type="pct"/>
          </w:tcPr>
          <w:p w14:paraId="66D13D90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Karta graficzna</w:t>
            </w:r>
          </w:p>
        </w:tc>
        <w:tc>
          <w:tcPr>
            <w:tcW w:w="3775" w:type="pct"/>
          </w:tcPr>
          <w:p w14:paraId="0433AD42" w14:textId="3FDBDD86" w:rsidR="005E5DDC" w:rsidRPr="0025068F" w:rsidRDefault="009D39CA" w:rsidP="002B5A72">
            <w:pPr>
              <w:numPr>
                <w:ilvl w:val="1"/>
                <w:numId w:val="3"/>
              </w:numPr>
              <w:tabs>
                <w:tab w:val="left" w:pos="128"/>
              </w:tabs>
              <w:ind w:left="0" w:firstLine="0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zintegrowana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 xml:space="preserve"> z płytą główną.</w:t>
            </w:r>
          </w:p>
        </w:tc>
      </w:tr>
      <w:tr w:rsidR="005E5DDC" w:rsidRPr="0025068F" w14:paraId="3578A1A9" w14:textId="77777777" w:rsidTr="00232220">
        <w:trPr>
          <w:cantSplit/>
          <w:jc w:val="center"/>
        </w:trPr>
        <w:tc>
          <w:tcPr>
            <w:tcW w:w="1225" w:type="pct"/>
          </w:tcPr>
          <w:p w14:paraId="552B0B3D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Multimedia</w:t>
            </w:r>
          </w:p>
        </w:tc>
        <w:tc>
          <w:tcPr>
            <w:tcW w:w="3775" w:type="pct"/>
          </w:tcPr>
          <w:p w14:paraId="6F5B132D" w14:textId="6D663BC2" w:rsidR="005E5DDC" w:rsidRPr="0025068F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karta dźwiękowa zintegrowana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14032156" w14:textId="181A8E23" w:rsidR="005E5DDC" w:rsidRPr="0025068F" w:rsidRDefault="005E5DDC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wbudowane głośniki stereo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13FB9465" w14:textId="4DCB8784" w:rsidR="00CB6EAD" w:rsidRPr="0025068F" w:rsidRDefault="00CB6EAD" w:rsidP="005E5DDC">
            <w:pPr>
              <w:numPr>
                <w:ilvl w:val="0"/>
                <w:numId w:val="8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cyfrowy mikrofon kierunkowy z funkcją redukcji szumów wbudowany w obudowę matrycy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25068F" w14:paraId="793A2ACA" w14:textId="77777777" w:rsidTr="00232220">
        <w:trPr>
          <w:cantSplit/>
          <w:jc w:val="center"/>
        </w:trPr>
        <w:tc>
          <w:tcPr>
            <w:tcW w:w="1225" w:type="pct"/>
          </w:tcPr>
          <w:p w14:paraId="6FDEA85C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Kamera</w:t>
            </w:r>
          </w:p>
        </w:tc>
        <w:tc>
          <w:tcPr>
            <w:tcW w:w="3775" w:type="pct"/>
          </w:tcPr>
          <w:p w14:paraId="4BEDB4B4" w14:textId="7E09ED89" w:rsidR="005E5DDC" w:rsidRPr="0025068F" w:rsidRDefault="005E5DDC" w:rsidP="00232220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Wbudowana w obudowę matrycy kamera </w:t>
            </w:r>
            <w:r w:rsidR="008E062E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FHD+IR</w:t>
            </w: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25068F" w14:paraId="45A87B9D" w14:textId="77777777" w:rsidTr="00232220">
        <w:trPr>
          <w:cantSplit/>
          <w:jc w:val="center"/>
        </w:trPr>
        <w:tc>
          <w:tcPr>
            <w:tcW w:w="1225" w:type="pct"/>
          </w:tcPr>
          <w:p w14:paraId="47887993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Komunikacja sieciowa</w:t>
            </w:r>
          </w:p>
        </w:tc>
        <w:tc>
          <w:tcPr>
            <w:tcW w:w="3775" w:type="pct"/>
          </w:tcPr>
          <w:p w14:paraId="59ACCF59" w14:textId="589C7B1F" w:rsidR="005E5DDC" w:rsidRPr="0025068F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karta sieciowa LAN 10/100/1000 Ethernet RJ 45</w:t>
            </w:r>
            <w:r w:rsidR="007E2B6A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może być dostarczone w formie przejściówki na </w:t>
            </w:r>
            <w:proofErr w:type="spellStart"/>
            <w:r w:rsidR="007E2B6A" w:rsidRPr="0025068F">
              <w:rPr>
                <w:rFonts w:asciiTheme="minorHAnsi" w:hAnsiTheme="minorHAnsi" w:cstheme="minorHAnsi"/>
                <w:sz w:val="16"/>
                <w:szCs w:val="16"/>
              </w:rPr>
              <w:t>usb</w:t>
            </w:r>
            <w:proofErr w:type="spellEnd"/>
            <w:r w:rsidR="007E2B6A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C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59B6618" w14:textId="0242A363" w:rsidR="005E5DDC" w:rsidRPr="0025068F" w:rsidRDefault="005E5DDC" w:rsidP="005E5DDC">
            <w:pPr>
              <w:numPr>
                <w:ilvl w:val="0"/>
                <w:numId w:val="9"/>
              </w:numPr>
              <w:ind w:left="146" w:hanging="146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WLAN 802.11a/b/g/n/</w:t>
            </w:r>
            <w:proofErr w:type="spellStart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ac</w:t>
            </w:r>
            <w:proofErr w:type="spellEnd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wraz z Bluetooth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6CA64A9B" w14:textId="77777777" w:rsidTr="00232220">
        <w:trPr>
          <w:cantSplit/>
          <w:jc w:val="center"/>
        </w:trPr>
        <w:tc>
          <w:tcPr>
            <w:tcW w:w="1225" w:type="pct"/>
          </w:tcPr>
          <w:p w14:paraId="6B9B0827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Porty/złącza</w:t>
            </w:r>
          </w:p>
        </w:tc>
        <w:tc>
          <w:tcPr>
            <w:tcW w:w="3775" w:type="pct"/>
          </w:tcPr>
          <w:p w14:paraId="6D99812A" w14:textId="6C87E552" w:rsidR="00704CCF" w:rsidRDefault="00704CCF" w:rsidP="00704CCF">
            <w:pPr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Wymagana ilość portów i złączy nie może być osiągnięta w wyniku stosowania konwerterów ani przejściówek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09D1AF8B" w14:textId="4CD51962" w:rsidR="00704CCF" w:rsidRDefault="00704CCF" w:rsidP="00704CCF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704CCF">
              <w:rPr>
                <w:rFonts w:asciiTheme="minorHAnsi" w:hAnsiTheme="minorHAnsi" w:cstheme="minorHAnsi"/>
                <w:sz w:val="16"/>
                <w:szCs w:val="16"/>
              </w:rPr>
              <w:t>1 x HDMI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70BEC8CB" w14:textId="22185D6A" w:rsidR="00704CCF" w:rsidRPr="00704CCF" w:rsidRDefault="00704CCF" w:rsidP="00704CCF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2 x USB A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14:paraId="568A25F6" w14:textId="1BC464C1" w:rsidR="005E5DDC" w:rsidRPr="0025068F" w:rsidRDefault="002F7FB7" w:rsidP="005E5DDC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="005E5DDC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x USB C</w:t>
            </w:r>
            <w:r w:rsidR="00704CCF">
              <w:rPr>
                <w:rFonts w:asciiTheme="minorHAnsi" w:hAnsiTheme="minorHAnsi" w:cstheme="minorHAnsi"/>
                <w:sz w:val="16"/>
                <w:szCs w:val="16"/>
              </w:rPr>
              <w:t>,</w:t>
            </w:r>
            <w:r w:rsidR="003A325D"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3F3CD8A" w14:textId="56EB144F" w:rsidR="005E5DDC" w:rsidRDefault="005E5DDC" w:rsidP="003A325D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1 x złącze słuchawkowo/mikrofonowe,</w:t>
            </w:r>
          </w:p>
          <w:p w14:paraId="6B851C94" w14:textId="66EEB8C1" w:rsidR="00704CCF" w:rsidRPr="00704CCF" w:rsidRDefault="00CA5522" w:rsidP="00704CCF">
            <w:pPr>
              <w:numPr>
                <w:ilvl w:val="0"/>
                <w:numId w:val="10"/>
              </w:numPr>
              <w:ind w:left="146" w:hanging="142"/>
              <w:contextualSpacing/>
              <w:jc w:val="both"/>
              <w:outlineLvl w:val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="00704CCF" w:rsidRPr="00644FD6">
              <w:rPr>
                <w:rFonts w:asciiTheme="minorHAnsi" w:hAnsiTheme="minorHAnsi" w:cstheme="minorHAnsi"/>
                <w:sz w:val="16"/>
                <w:szCs w:val="16"/>
              </w:rPr>
              <w:t>łącze zasilania</w:t>
            </w:r>
            <w:r w:rsidR="00704CCF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63691DD1" w14:textId="77777777" w:rsidTr="00232220">
        <w:trPr>
          <w:cantSplit/>
          <w:jc w:val="center"/>
        </w:trPr>
        <w:tc>
          <w:tcPr>
            <w:tcW w:w="1225" w:type="pct"/>
          </w:tcPr>
          <w:p w14:paraId="42890B6D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Urządzenia sterujące</w:t>
            </w:r>
          </w:p>
        </w:tc>
        <w:tc>
          <w:tcPr>
            <w:tcW w:w="3775" w:type="pct"/>
          </w:tcPr>
          <w:p w14:paraId="1E883CD3" w14:textId="2B21C46E" w:rsidR="005E5DDC" w:rsidRPr="0025068F" w:rsidRDefault="005E5DDC" w:rsidP="005E5DDC">
            <w:pPr>
              <w:numPr>
                <w:ilvl w:val="0"/>
                <w:numId w:val="11"/>
              </w:numPr>
              <w:ind w:left="146" w:hanging="146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Klawiatura 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 xml:space="preserve">podświetlana 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(układ US -QWERTY</w:t>
            </w:r>
            <w:r w:rsidR="00D507E0" w:rsidRPr="0025068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6B923787" w14:textId="52D13B60" w:rsidR="005E5DDC" w:rsidRPr="0025068F" w:rsidRDefault="005E5DDC" w:rsidP="005E5DDC">
            <w:pPr>
              <w:numPr>
                <w:ilvl w:val="0"/>
                <w:numId w:val="11"/>
              </w:numPr>
              <w:ind w:left="146" w:hanging="142"/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Touchpad</w:t>
            </w:r>
            <w:proofErr w:type="spellEnd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wbudowany w obudowę komputera z możliwością jego włączenia i wyłączenia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5EA1CA9E" w14:textId="77777777" w:rsidTr="00232220">
        <w:trPr>
          <w:cantSplit/>
          <w:jc w:val="center"/>
        </w:trPr>
        <w:tc>
          <w:tcPr>
            <w:tcW w:w="1225" w:type="pct"/>
          </w:tcPr>
          <w:p w14:paraId="52A9CACB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Bateria</w:t>
            </w:r>
          </w:p>
        </w:tc>
        <w:tc>
          <w:tcPr>
            <w:tcW w:w="3775" w:type="pct"/>
          </w:tcPr>
          <w:p w14:paraId="56D5AEDA" w14:textId="003F91DE" w:rsidR="005E5DDC" w:rsidRPr="0025068F" w:rsidRDefault="005E5DDC" w:rsidP="003A325D">
            <w:pPr>
              <w:ind w:left="4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Bateria Li-</w:t>
            </w:r>
            <w:proofErr w:type="spellStart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Ion</w:t>
            </w:r>
            <w:proofErr w:type="spellEnd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, zapewniająca pracę minimum przez </w:t>
            </w:r>
            <w:r w:rsidR="003A325D" w:rsidRPr="0025068F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godzin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5E5DDC" w:rsidRPr="0025068F" w14:paraId="14F07CAC" w14:textId="77777777" w:rsidTr="00232220">
        <w:trPr>
          <w:cantSplit/>
          <w:jc w:val="center"/>
        </w:trPr>
        <w:tc>
          <w:tcPr>
            <w:tcW w:w="1225" w:type="pct"/>
          </w:tcPr>
          <w:p w14:paraId="7FE6FF0A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Bezpieczeństwo</w:t>
            </w:r>
          </w:p>
        </w:tc>
        <w:tc>
          <w:tcPr>
            <w:tcW w:w="3775" w:type="pct"/>
          </w:tcPr>
          <w:p w14:paraId="3C74C927" w14:textId="58B6E28D" w:rsidR="00973DD0" w:rsidRPr="009B43CF" w:rsidRDefault="00973DD0" w:rsidP="00973DD0">
            <w:pP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Złącze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typu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Kensington Lock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lub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Noble Lock zintegrowane z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obudową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na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etapie</w:t>
            </w:r>
            <w:proofErr w:type="spellEnd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B43C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produkcji</w:t>
            </w:r>
            <w:proofErr w:type="spellEnd"/>
            <w:r w:rsidR="00CA5522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;</w:t>
            </w:r>
          </w:p>
          <w:p w14:paraId="6755A1BA" w14:textId="4C9C32AA" w:rsidR="00973DD0" w:rsidRDefault="00973DD0" w:rsidP="00973DD0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- </w:t>
            </w:r>
            <w:r w:rsidRPr="00644FD6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TPM 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sprzętowy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4BE11507" w14:textId="1F508398" w:rsidR="00162431" w:rsidRPr="0025068F" w:rsidRDefault="00973DD0" w:rsidP="00973DD0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>- Obudowa wzmocniona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5E5DDC" w:rsidRPr="0025068F" w14:paraId="7EC9A384" w14:textId="77777777" w:rsidTr="00232220">
        <w:trPr>
          <w:cantSplit/>
          <w:jc w:val="center"/>
        </w:trPr>
        <w:tc>
          <w:tcPr>
            <w:tcW w:w="1225" w:type="pct"/>
          </w:tcPr>
          <w:p w14:paraId="68EB7EC4" w14:textId="77777777" w:rsidR="005E5DDC" w:rsidRPr="0025068F" w:rsidRDefault="005E5DDC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Zasilanie</w:t>
            </w:r>
          </w:p>
        </w:tc>
        <w:tc>
          <w:tcPr>
            <w:tcW w:w="3775" w:type="pct"/>
          </w:tcPr>
          <w:p w14:paraId="2D6B0C75" w14:textId="6ED51DE8" w:rsidR="00162431" w:rsidRPr="0025068F" w:rsidRDefault="005E5DDC" w:rsidP="00162431">
            <w:pPr>
              <w:ind w:left="4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Dołączony zasilacz 110 - 240V</w:t>
            </w:r>
            <w:r w:rsidR="00162431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="00E61C14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, </w:t>
            </w:r>
            <w:r w:rsidR="00162431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min 65 wat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25068F" w:rsidRPr="0025068F" w14:paraId="6FCD6E89" w14:textId="77777777" w:rsidTr="00232220">
        <w:trPr>
          <w:cantSplit/>
          <w:jc w:val="center"/>
        </w:trPr>
        <w:tc>
          <w:tcPr>
            <w:tcW w:w="1225" w:type="pct"/>
          </w:tcPr>
          <w:p w14:paraId="11C47489" w14:textId="7040AA3C" w:rsidR="0025068F" w:rsidRPr="0025068F" w:rsidRDefault="0025068F" w:rsidP="00232220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Zarządzanie</w:t>
            </w:r>
          </w:p>
        </w:tc>
        <w:tc>
          <w:tcPr>
            <w:tcW w:w="3775" w:type="pct"/>
          </w:tcPr>
          <w:p w14:paraId="38B76C95" w14:textId="3D2E0021" w:rsidR="0025068F" w:rsidRPr="0025068F" w:rsidRDefault="0025068F" w:rsidP="0025068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Zaawansowane funkcje zarządzania komputerem zgodne z technologią </w:t>
            </w:r>
            <w:proofErr w:type="spellStart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vPro</w:t>
            </w:r>
            <w:proofErr w:type="spellEnd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lub równoważną posiadające możliwość zdalnego przejęcia pełnej konsoli graficznej systemu tzw. KVM </w:t>
            </w:r>
            <w:proofErr w:type="spellStart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>Redirection</w:t>
            </w:r>
            <w:proofErr w:type="spellEnd"/>
            <w:r w:rsidRPr="0025068F">
              <w:rPr>
                <w:rFonts w:asciiTheme="minorHAnsi" w:eastAsiaTheme="minorHAnsi" w:hAnsiTheme="minorHAnsi" w:cstheme="minorHAnsi"/>
                <w:sz w:val="16"/>
                <w:szCs w:val="16"/>
                <w:lang w:eastAsia="en-US"/>
              </w:rPr>
              <w:t xml:space="preserve"> (Keyboard, Video, Mouse) bez udziału systemu operacyjnego ani dodatkowych programów, również w przypadku braku lub uszkodzenia systemu operacyjnego do rozdzielczości 1920x1080 włącznie.</w:t>
            </w:r>
          </w:p>
        </w:tc>
      </w:tr>
      <w:tr w:rsidR="00D2679A" w:rsidRPr="0025068F" w14:paraId="66EC501B" w14:textId="77777777" w:rsidTr="00232220">
        <w:trPr>
          <w:jc w:val="center"/>
        </w:trPr>
        <w:tc>
          <w:tcPr>
            <w:tcW w:w="1225" w:type="pct"/>
          </w:tcPr>
          <w:p w14:paraId="1892F5F1" w14:textId="77777777" w:rsidR="00D2679A" w:rsidRPr="0025068F" w:rsidRDefault="00D2679A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br w:type="page"/>
              <w:t>S</w:t>
            </w: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ystem operacyjny</w:t>
            </w:r>
          </w:p>
        </w:tc>
        <w:tc>
          <w:tcPr>
            <w:tcW w:w="3775" w:type="pct"/>
          </w:tcPr>
          <w:p w14:paraId="598F82A4" w14:textId="77777777" w:rsidR="00D2679A" w:rsidRPr="0025068F" w:rsidRDefault="00D2679A" w:rsidP="00D2679A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/>
                <w:sz w:val="16"/>
                <w:szCs w:val="16"/>
              </w:rPr>
              <w:t>Dostarczony w formie preinstalowanej i certyfikatu licencyjnego. System współpracujący ze środowiskiem sieciowym, domeną Active Directory oraz aplikacjami używanymi przez Zamawiającego - Zgodność z 64-bitową wersją systemu operacyjnego Microsoft Windows 11 Professional PL lub równoważny.</w:t>
            </w:r>
            <w:r w:rsidRPr="0025068F">
              <w:rPr>
                <w:rFonts w:asciiTheme="minorHAnsi" w:hAnsiTheme="minorHAnsi" w:cstheme="minorHAnsi"/>
                <w:b/>
                <w:sz w:val="16"/>
                <w:szCs w:val="16"/>
              </w:rPr>
              <w:br/>
              <w:t>Warunki równoważności:</w:t>
            </w:r>
          </w:p>
          <w:p w14:paraId="7193C550" w14:textId="77777777" w:rsidR="00D2679A" w:rsidRPr="0025068F" w:rsidRDefault="00D2679A" w:rsidP="00D2679A">
            <w:pPr>
              <w:ind w:left="199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Na komputerze zainstalowane środowisko </w:t>
            </w:r>
            <w:proofErr w:type="spellStart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pre</w:t>
            </w:r>
            <w:proofErr w:type="spellEnd"/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-instalacyjne. System, poprzez mechanizmy wbudowane, bez użycia dodatkowych aplikacji, musi:</w:t>
            </w:r>
          </w:p>
          <w:p w14:paraId="4D0571F1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umożliwiać rejestrację konta komputera w systemie domenowym Zamawiającego przy użyciu konta administratora domeny;</w:t>
            </w:r>
          </w:p>
          <w:p w14:paraId="64F10955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dokonywanie aktualizacji i poprawek systemu przez Internet z możliwością wyboru instalowanych poprawek;</w:t>
            </w:r>
          </w:p>
          <w:p w14:paraId="0DFFF978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dokonywanie uaktualnień sterowników urządzeń przez Internet – witrynę producenta systemu; </w:t>
            </w:r>
          </w:p>
          <w:p w14:paraId="3012202D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ind w:left="839" w:hanging="218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pobranie darmowych aktualizacji w ramach wersji systemu operacyjnego przez Internet (niezbędne aktualizacje, poprawki, biuletyny bezpieczeństwa muszą być dostarczane bez dodatkowych opłat) – wymagane podanie nazwy strony serwera WWW;</w:t>
            </w:r>
          </w:p>
          <w:p w14:paraId="42691EF0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zapewniać internetową aktualizację w języku polskim;</w:t>
            </w:r>
          </w:p>
          <w:p w14:paraId="55D4A6B1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wbudowaną zaporę internetową (firewall) dla ochrony połączeń internetowych; zintegrowana z systemem konsola do zarządzania ustawieniami zapory i regułami IP v4 i v6;  </w:t>
            </w:r>
          </w:p>
          <w:p w14:paraId="5A0BB568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zlokalizowane w języku polskim, co najmniej następujące elementy: menu, odtwarzacz multimediów, pomoc, komunikaty systemowe; </w:t>
            </w:r>
          </w:p>
          <w:p w14:paraId="0E3B4035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wsparcie dla większości powszechnie używanych urządzeń peryferyjnych (drukarek, urządzeń sieciowych, standardów USB, </w:t>
            </w:r>
            <w:proofErr w:type="spellStart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Plug&amp;Play</w:t>
            </w:r>
            <w:proofErr w:type="spellEnd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, Wi-Fi) ;</w:t>
            </w:r>
          </w:p>
          <w:p w14:paraId="121AFA89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automatycznej zmiany domyślnej drukarki w zależności od sieci, do której podłączony jest komputer;</w:t>
            </w:r>
          </w:p>
          <w:p w14:paraId="300A25F9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interfejs użytkownika działający w trybie graficznym z elementami 3D, zintegrowana z interfejsem użytkownika interaktywna część pulpitu służąca do uruchamiania aplikacji, które użytkownik może dowolnie wymieniać i pobrać ze strony producenta;</w:t>
            </w:r>
          </w:p>
          <w:p w14:paraId="105F90E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zdalną automatyczną instalację, konfigurację, administrowanie oraz aktualizowanie systemu;   </w:t>
            </w:r>
          </w:p>
          <w:p w14:paraId="3D45F64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zabezpieczony hasłem hierarchiczny dostęp do systemu, konta i profile użytkowników zarządzane zdalnie; praca systemu w trybie ochrony kont użytkowników;</w:t>
            </w:r>
          </w:p>
          <w:p w14:paraId="400518BE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moduł wyszukiwania informacji (plików różnego typu) dostępny z kilku poziomów: poziom menu, poziom otwartego okna systemu operacyjnego; system wyszukiwania oparty na konfigurowalnym przez użytkownika module indeksacji zasobów lokalnych;</w:t>
            </w:r>
          </w:p>
          <w:p w14:paraId="1E9317E7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zintegrowane z systemem operacyjnym narzędzia zwalczające złośliwe oprogramowanie; aktualizacje dostępne u producenta nieodpłatnie bez ograniczeń czasowych;</w:t>
            </w:r>
          </w:p>
          <w:p w14:paraId="0C08BB75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rozpoznawania mowy, pozwalającą na sterowanie komputerem głosowo, wraz z modułem „uczenia się” głosu użytkownika;</w:t>
            </w:r>
          </w:p>
          <w:p w14:paraId="460C365E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zintegrowany z systemem operacyjnym moduł synchronizacji komputera z urządzeniami zewnętrznymi;</w:t>
            </w:r>
          </w:p>
          <w:p w14:paraId="5D8E9D3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wbudowany system pomocy w języku polskim;</w:t>
            </w:r>
          </w:p>
          <w:p w14:paraId="43317A54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przystosowanie środowiska graficznego systemu dla osób niepełnosprawnych (np. słabo widzących); </w:t>
            </w:r>
          </w:p>
          <w:p w14:paraId="5C2EC95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stacją roboczą poprzez polityki – przez politykę rozumiemy zestaw reguł definiujących lub ograniczających funkcjonalność systemu lub aplikacji;</w:t>
            </w:r>
          </w:p>
          <w:p w14:paraId="09EE42B5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wdrażanie IPSEC oparte na politykach – wdrażanie IPSEC oparte na zestawach reguł definiujących ustawienia zarządzanych w sposób centralny;</w:t>
            </w:r>
          </w:p>
          <w:p w14:paraId="1481CD28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automatyczne występowanie i używanie (wystawianie) certyfikatów PKI X.509;</w:t>
            </w:r>
          </w:p>
          <w:p w14:paraId="52A8423C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umożliwiać wsparcie dla logowania przy pomocy </w:t>
            </w:r>
            <w:proofErr w:type="spellStart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smartcard</w:t>
            </w:r>
            <w:proofErr w:type="spellEnd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;</w:t>
            </w:r>
          </w:p>
          <w:p w14:paraId="1C01D54F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rozbudowane polityki bezpieczeństwa – polityki dla systemu operacyjnego;</w:t>
            </w:r>
          </w:p>
          <w:p w14:paraId="0D61058E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narzędzia służące do administracji, do wykonywania kopii zapasowych polityk i ich odtwarzania oraz generowania raportów z ustawień polityk;</w:t>
            </w:r>
          </w:p>
          <w:p w14:paraId="5E1EC17F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dostarczać wsparcie dla Sun Java i .NET Framework 1.1 i 2.0 i 3.0 – możliwość uruchomienia aplikacji działających we wskazanych środowiskach;</w:t>
            </w:r>
          </w:p>
          <w:p w14:paraId="5CF205B8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lastRenderedPageBreak/>
              <w:t xml:space="preserve">dostarczać wsparcie dla JScript i </w:t>
            </w:r>
            <w:proofErr w:type="spellStart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VBScript</w:t>
            </w:r>
            <w:proofErr w:type="spellEnd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 – możliwość uruchamiania interpretera poleceń;</w:t>
            </w:r>
          </w:p>
          <w:p w14:paraId="4BD242DA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zdalną pomoc i współdzielenie aplikacji – możliwość zdalnego przejęcia sesji zalogowanego użytkownika celem rozwiązania problemu z komputerem;</w:t>
            </w:r>
          </w:p>
          <w:p w14:paraId="5C5B8B5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rozwiązanie służące do automatycznego zbudowania obrazu systemu wraz z aplikacjami. Obraz systemu służyć ma do automatycznego upowszechnienia systemu operacyjnego inicjowanego i wykonywanego w całości poprzez sieć komputerową. Rozwiązanie ma umożliwiać wdrożenie nowego obrazu poprzez zdalną instalację;</w:t>
            </w:r>
          </w:p>
          <w:p w14:paraId="3EFCB8BB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graficzne środowisko instalacji i konfiguracji;</w:t>
            </w:r>
          </w:p>
          <w:p w14:paraId="0047C603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 xml:space="preserve">posiadać transakcyjny system plików pozwalający na stosowanie przydziałów (ang. </w:t>
            </w:r>
            <w:proofErr w:type="spellStart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quota</w:t>
            </w:r>
            <w:proofErr w:type="spellEnd"/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) na dysku dla użytkowników oraz zapewniający większą niezawodność i pozwalający tworzyć kopie zapasowe;</w:t>
            </w:r>
          </w:p>
          <w:p w14:paraId="5C842007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zarządzanie kontami użytkowników sieci oraz urządzeniami sieciowymi tj. drukarki, modemy, woluminy dyskowe, usługi katalogowe;</w:t>
            </w:r>
          </w:p>
          <w:p w14:paraId="53CD9C90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udostępniać modem;</w:t>
            </w:r>
          </w:p>
          <w:p w14:paraId="11FC1762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oprogramowanie dla tworzenia kopii zapasowych (Backup); automatyczne wykonywanie kopii plików z możliwością automatycznego przywrócenia wersji wcześniejszej;</w:t>
            </w:r>
          </w:p>
          <w:p w14:paraId="0F19C0A1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przywracanie plików systemowych;</w:t>
            </w:r>
          </w:p>
          <w:p w14:paraId="69FF928A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posiadać funkcjonalność pozwalającą na identyfikację sieci komputerowych, do których jest podłączony, zapamiętywanie ustawień i przypisywanie do min. 3 kategorii bezpieczeństwa (z predefiniowanymi odpowiednio do kategorii ustawieniami zapory sieciowej, udostępniania plików itp.);</w:t>
            </w:r>
          </w:p>
          <w:p w14:paraId="0CA59EDD" w14:textId="77777777" w:rsidR="00D2679A" w:rsidRPr="0025068F" w:rsidRDefault="00D2679A" w:rsidP="00D2679A">
            <w:pPr>
              <w:numPr>
                <w:ilvl w:val="0"/>
                <w:numId w:val="18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i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iCs/>
                <w:sz w:val="16"/>
                <w:szCs w:val="16"/>
              </w:rPr>
              <w:t>umożliwiać blokowanie lub dopuszczanie dowolnych urządzeń peryferyjnych za pomocą polityk grupowych (np. przy użyciu numerów identyfikacyjnych sprzętu).</w:t>
            </w:r>
          </w:p>
          <w:p w14:paraId="48CC38E2" w14:textId="77777777" w:rsidR="00D2679A" w:rsidRPr="0025068F" w:rsidRDefault="00D2679A" w:rsidP="00D2679A">
            <w:pPr>
              <w:ind w:left="199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14:paraId="5DAF2392" w14:textId="77777777" w:rsidR="00D2679A" w:rsidRPr="0025068F" w:rsidRDefault="00D2679A" w:rsidP="00C03113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Wykonawca zapewni kompatybilność (bezpieczeństwo, stabilność i wydajność) dostarczonych komputerów z wykorzystywanymi przez zamawiającego rozwiązaniami takimi jak:</w:t>
            </w:r>
          </w:p>
          <w:p w14:paraId="22F48057" w14:textId="77777777" w:rsidR="00D2679A" w:rsidRPr="0025068F" w:rsidRDefault="00D2679A" w:rsidP="00C03113">
            <w:pPr>
              <w:numPr>
                <w:ilvl w:val="0"/>
                <w:numId w:val="1"/>
              </w:numPr>
              <w:spacing w:after="160" w:line="259" w:lineRule="auto"/>
              <w:ind w:left="567" w:hanging="20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udziały sieciowe i uprawnienia do nich</w:t>
            </w:r>
          </w:p>
          <w:p w14:paraId="18EC5D74" w14:textId="77777777" w:rsidR="00D2679A" w:rsidRPr="0025068F" w:rsidRDefault="00D2679A" w:rsidP="00C03113">
            <w:pPr>
              <w:numPr>
                <w:ilvl w:val="0"/>
                <w:numId w:val="1"/>
              </w:numPr>
              <w:spacing w:after="160" w:line="259" w:lineRule="auto"/>
              <w:ind w:left="567" w:hanging="207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używane przez zamawiającego aplikacje (np. </w:t>
            </w:r>
            <w:proofErr w:type="spellStart"/>
            <w:r w:rsidRPr="0025068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Vmware</w:t>
            </w:r>
            <w:proofErr w:type="spellEnd"/>
            <w:r w:rsidRPr="0025068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25068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Płatnik</w:t>
            </w:r>
            <w:proofErr w:type="spellEnd"/>
            <w:r w:rsidRPr="0025068F">
              <w:rPr>
                <w:rFonts w:asciiTheme="minorHAnsi" w:hAnsiTheme="minorHAnsi" w:cstheme="minorHAnsi"/>
                <w:bCs/>
                <w:sz w:val="16"/>
                <w:szCs w:val="16"/>
                <w:lang w:val="en-US"/>
              </w:rPr>
              <w:t>, ENOVA)</w:t>
            </w:r>
          </w:p>
          <w:p w14:paraId="3EC9E86F" w14:textId="7685C3C6" w:rsidR="00D2679A" w:rsidRPr="0025068F" w:rsidRDefault="00D2679A" w:rsidP="00C03113">
            <w:pPr>
              <w:jc w:val="both"/>
              <w:rPr>
                <w:rFonts w:asciiTheme="minorHAnsi" w:hAnsiTheme="minorHAnsi" w:cstheme="minorHAnsi"/>
                <w:bCs/>
                <w:strike/>
                <w:sz w:val="16"/>
                <w:szCs w:val="16"/>
                <w:lang w:val="x-none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Wykonawca, który powołuje się na rozwiązania równoważne dotyczące systemu opisywane przez zamawiającego jest </w:t>
            </w:r>
            <w:r w:rsidR="00C03113">
              <w:rPr>
                <w:rFonts w:asciiTheme="minorHAnsi" w:hAnsiTheme="minorHAnsi" w:cstheme="minorHAnsi"/>
                <w:sz w:val="16"/>
                <w:szCs w:val="16"/>
              </w:rPr>
              <w:t>z</w:t>
            </w:r>
            <w:r w:rsidRPr="0025068F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obowiązany wykazać, że oferowane przez niego </w:t>
            </w:r>
            <w:r w:rsidR="00C03113">
              <w:rPr>
                <w:rFonts w:asciiTheme="minorHAnsi" w:hAnsiTheme="minorHAnsi" w:cstheme="minorHAnsi"/>
                <w:sz w:val="16"/>
                <w:szCs w:val="16"/>
              </w:rPr>
              <w:t>rozwiązanie</w:t>
            </w:r>
            <w:r w:rsidRPr="0025068F">
              <w:rPr>
                <w:rFonts w:asciiTheme="minorHAnsi" w:hAnsiTheme="minorHAnsi" w:cstheme="minorHAnsi"/>
                <w:sz w:val="16"/>
                <w:szCs w:val="16"/>
                <w:lang w:val="x-none"/>
              </w:rPr>
              <w:t xml:space="preserve">, spełnia wymagania określone przez zamawiającego. </w:t>
            </w:r>
          </w:p>
          <w:p w14:paraId="62E6B420" w14:textId="143D251E" w:rsidR="00D2679A" w:rsidRPr="0025068F" w:rsidRDefault="00D2679A" w:rsidP="00C03113">
            <w:pPr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Jeżeli zaoferowane oprogramowanie będzie wymagało konieczności poniesienia przez zamawiającego dodatkowych nakładów (w szczególności zmianę konfiguracji usług sieciowych, szkolenie pracowników, zwiększenie dotychczasowej czasochłonności przygotowania stanowisk komputerowych, dokonanie kompatybilności z używanymi przez Zamawiającego systemami i aplikacjami) niezbędnych do sprawnego funkcjonowania stacji roboczych w infrastrukturze teleinformatycznej zamawiającego, to wszelkie koszty z tym związane pon</w:t>
            </w:r>
            <w:r w:rsidR="00C03113">
              <w:rPr>
                <w:rFonts w:asciiTheme="minorHAnsi" w:hAnsiTheme="minorHAnsi" w:cstheme="minorHAnsi"/>
                <w:bCs/>
                <w:sz w:val="16"/>
                <w:szCs w:val="16"/>
              </w:rPr>
              <w:t>iesie</w:t>
            </w: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wykonawca. </w:t>
            </w:r>
          </w:p>
          <w:p w14:paraId="2F1C2CB8" w14:textId="47992C9B" w:rsidR="00D2679A" w:rsidRPr="0025068F" w:rsidRDefault="00D2679A" w:rsidP="00D2679A">
            <w:pPr>
              <w:spacing w:after="160" w:line="259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 przypadku, gdy zaoferowane przez wykonawcę oprogramowanie nie będzie właściwie współdziałać ze sprzętem i oprogramowaniem funkcjonującym u zamawiającego lub spowoduje zakłócenia w funkcjonowaniu pracy środowiska sprzętowo-programowego u zamawiającego, wykonawca pokryje wszystkie koszty związane z przywróceniem i sprawnym działaniem infrastruktury sprzętowo-programowej zamawiającego oraz na własny koszt dokona niezbędnych modyfikacji przywracających właściwe działanie środowiska sprzętowo-programowego zamawiającego również po odinstalowaniu dostarczonego oprogramowania.</w:t>
            </w:r>
          </w:p>
        </w:tc>
      </w:tr>
      <w:tr w:rsidR="00D2679A" w:rsidRPr="0025068F" w14:paraId="4826BD63" w14:textId="77777777" w:rsidTr="00232220">
        <w:trPr>
          <w:cantSplit/>
          <w:jc w:val="center"/>
        </w:trPr>
        <w:tc>
          <w:tcPr>
            <w:tcW w:w="1225" w:type="pct"/>
          </w:tcPr>
          <w:p w14:paraId="7FDCD4CB" w14:textId="77777777" w:rsidR="00D2679A" w:rsidRPr="0025068F" w:rsidRDefault="00D2679A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Certyfikaty i standardy</w:t>
            </w:r>
          </w:p>
        </w:tc>
        <w:tc>
          <w:tcPr>
            <w:tcW w:w="3775" w:type="pct"/>
          </w:tcPr>
          <w:p w14:paraId="55DC5E44" w14:textId="77777777" w:rsidR="00D2679A" w:rsidRPr="0025068F" w:rsidRDefault="00D2679A" w:rsidP="00D2679A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Oferowane modele komputerów muszą posiadać certyfikat producenta systemu operacyjnego, potwierdzający poprawną współpracę oferowanych komputerów z dostarczonym systemem operacyjnym.</w:t>
            </w:r>
          </w:p>
          <w:p w14:paraId="02192D8D" w14:textId="3C1A0FBA" w:rsidR="00D2679A" w:rsidRPr="0025068F" w:rsidRDefault="00D2679A" w:rsidP="00D2679A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Deklaracja CE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1AF51B58" w14:textId="4EDA2EF5" w:rsidR="00D2679A" w:rsidRPr="0025068F" w:rsidRDefault="00D2679A" w:rsidP="00D2679A">
            <w:pPr>
              <w:numPr>
                <w:ilvl w:val="0"/>
                <w:numId w:val="1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Certyfikat TCO</w:t>
            </w:r>
            <w:r w:rsidRPr="0025068F">
              <w:rPr>
                <w:rFonts w:asciiTheme="minorHAnsi" w:hAnsiTheme="minorHAnsi" w:cstheme="minorHAnsi"/>
                <w:bCs/>
                <w:color w:val="FF0000"/>
                <w:sz w:val="16"/>
                <w:szCs w:val="16"/>
              </w:rPr>
              <w:t xml:space="preserve"> </w:t>
            </w: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lub równoważny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D2679A" w:rsidRPr="0025068F" w14:paraId="064481DE" w14:textId="77777777" w:rsidTr="00232220">
        <w:trPr>
          <w:cantSplit/>
          <w:jc w:val="center"/>
        </w:trPr>
        <w:tc>
          <w:tcPr>
            <w:tcW w:w="1225" w:type="pct"/>
          </w:tcPr>
          <w:p w14:paraId="113C5536" w14:textId="51B67848" w:rsidR="00D2679A" w:rsidRPr="0025068F" w:rsidRDefault="00D2679A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Masa</w:t>
            </w:r>
            <w:r w:rsidR="004B5C66"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urządzenia</w:t>
            </w:r>
          </w:p>
        </w:tc>
        <w:tc>
          <w:tcPr>
            <w:tcW w:w="3775" w:type="pct"/>
          </w:tcPr>
          <w:p w14:paraId="529DAEB7" w14:textId="00E93643" w:rsidR="00D2679A" w:rsidRPr="0025068F" w:rsidRDefault="00D2679A" w:rsidP="00D2679A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max. 1,4 kg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D2679A" w:rsidRPr="0025068F" w14:paraId="7D73AA70" w14:textId="77777777" w:rsidTr="00232220">
        <w:trPr>
          <w:cantSplit/>
          <w:jc w:val="center"/>
        </w:trPr>
        <w:tc>
          <w:tcPr>
            <w:tcW w:w="1225" w:type="pct"/>
          </w:tcPr>
          <w:p w14:paraId="0CEB4F2B" w14:textId="72835751" w:rsidR="00D2679A" w:rsidRPr="0025068F" w:rsidRDefault="00CA5522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lastRenderedPageBreak/>
              <w:t>Wymagania dodatkowe</w:t>
            </w:r>
          </w:p>
          <w:p w14:paraId="3A48E835" w14:textId="77777777" w:rsidR="00D2679A" w:rsidRPr="0025068F" w:rsidRDefault="00D2679A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3775" w:type="pct"/>
          </w:tcPr>
          <w:p w14:paraId="1A010CF4" w14:textId="78CD0D0E" w:rsidR="00D2679A" w:rsidRPr="0025068F" w:rsidRDefault="00D2679A" w:rsidP="00D2679A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Możliwość sprawdzenia konfiguracji sprzętowej komputera oraz warunków gwarancji po podaniu numeru seryjnego bezpośrednio na stronie internetowej producenta sprzętu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355A9BFF" w14:textId="1BEAD252" w:rsidR="00D2679A" w:rsidRDefault="00D2679A" w:rsidP="00D2679A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Dostęp do najnowszych sterowników i uaktualnień na stronie producenta komputera realizowany poprzez podanie na dedykowanej stronie internetowej producenta numeru seryjnego lub modelu komputera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35D226F5" w14:textId="1F4FCB4F" w:rsidR="00C03113" w:rsidRPr="0025068F" w:rsidRDefault="00C03113" w:rsidP="00D2679A">
            <w:pPr>
              <w:numPr>
                <w:ilvl w:val="0"/>
                <w:numId w:val="4"/>
              </w:numPr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Wykonawca niebędący producentem oferowanego sprzętu nie może samodzielnie dokonywać jego modyfikacji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512C6CE9" w14:textId="68CB4F1D" w:rsidR="00D2679A" w:rsidRPr="003C1874" w:rsidRDefault="00D2679A" w:rsidP="00D2679A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C1874">
              <w:rPr>
                <w:rFonts w:asciiTheme="minorHAnsi" w:hAnsiTheme="minorHAnsi" w:cstheme="minorHAnsi"/>
                <w:bCs/>
                <w:sz w:val="16"/>
                <w:szCs w:val="16"/>
              </w:rPr>
              <w:t>W celu uniknięcia błędów kompatybilności Zamawiający wymaga, aby wszystkie podzespoły montowane przez Producenta były przez niego certyfikowane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;</w:t>
            </w:r>
          </w:p>
          <w:p w14:paraId="701F57AE" w14:textId="5AA70D76" w:rsidR="00C03113" w:rsidRPr="0025068F" w:rsidRDefault="00C03113" w:rsidP="00D2679A">
            <w:pPr>
              <w:numPr>
                <w:ilvl w:val="0"/>
                <w:numId w:val="4"/>
              </w:numPr>
              <w:spacing w:after="160" w:line="259" w:lineRule="auto"/>
              <w:ind w:left="146" w:hanging="142"/>
              <w:contextualSpacing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C1874">
              <w:rPr>
                <w:rFonts w:asciiTheme="minorHAnsi" w:hAnsiTheme="minorHAnsi" w:cstheme="minorHAnsi"/>
                <w:bCs/>
                <w:sz w:val="16"/>
                <w:szCs w:val="16"/>
              </w:rPr>
              <w:t>system diagnostyczny umożliwiający przetestowanie zainstalowanych komponentów w celu wykrycia usterki w oferowanym komputerze. Funkcje diagnostyczne co najmniej:  sprawdzenie procesora,  test pamięci,  test dysku twardego</w:t>
            </w:r>
            <w:r w:rsidR="00CA5522">
              <w:rPr>
                <w:rFonts w:asciiTheme="minorHAnsi" w:hAnsiTheme="minorHAnsi" w:cstheme="minorHAnsi"/>
                <w:bCs/>
                <w:sz w:val="16"/>
                <w:szCs w:val="16"/>
              </w:rPr>
              <w:t>.</w:t>
            </w:r>
          </w:p>
        </w:tc>
      </w:tr>
      <w:tr w:rsidR="00D2679A" w:rsidRPr="0025068F" w14:paraId="1B08C598" w14:textId="77777777" w:rsidTr="00232220">
        <w:trPr>
          <w:cantSplit/>
          <w:jc w:val="center"/>
        </w:trPr>
        <w:tc>
          <w:tcPr>
            <w:tcW w:w="1225" w:type="pct"/>
          </w:tcPr>
          <w:p w14:paraId="595E912F" w14:textId="77777777" w:rsidR="00D2679A" w:rsidRPr="0025068F" w:rsidRDefault="00D2679A" w:rsidP="00D2679A">
            <w:pPr>
              <w:ind w:left="71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bCs/>
                <w:sz w:val="16"/>
                <w:szCs w:val="16"/>
              </w:rPr>
              <w:t>Gwarancja</w:t>
            </w:r>
          </w:p>
        </w:tc>
        <w:tc>
          <w:tcPr>
            <w:tcW w:w="3775" w:type="pct"/>
          </w:tcPr>
          <w:p w14:paraId="1BF493B7" w14:textId="55BC405B" w:rsidR="00D2679A" w:rsidRPr="0025068F" w:rsidRDefault="00D2679A" w:rsidP="00D2679A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Min. </w:t>
            </w:r>
            <w:r w:rsidR="003C1874">
              <w:rPr>
                <w:rFonts w:asciiTheme="minorHAnsi" w:hAnsiTheme="minorHAnsi" w:cstheme="minorHAnsi"/>
                <w:sz w:val="16"/>
                <w:szCs w:val="16"/>
              </w:rPr>
              <w:t>48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miesięcy na miejscu u klienta z pozostawieniem dysku w razie jego uszkodzenia (gwarancja </w:t>
            </w:r>
            <w:proofErr w:type="spellStart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NextBuissnesDay</w:t>
            </w:r>
            <w:proofErr w:type="spellEnd"/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)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10D38C94" w14:textId="31FDD0C1" w:rsidR="00D2679A" w:rsidRPr="0025068F" w:rsidRDefault="00D2679A" w:rsidP="00D2679A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>Serwis urządzeń musi być realizowany przez producenta lub autoryzowanego partnera serwisowego producenta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55E5F836" w14:textId="7F01487B" w:rsidR="00C03113" w:rsidRPr="00644FD6" w:rsidRDefault="00C03113" w:rsidP="00C03113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644FD6">
              <w:rPr>
                <w:rFonts w:asciiTheme="minorHAnsi" w:hAnsiTheme="minorHAnsi" w:cstheme="minorHAnsi"/>
                <w:sz w:val="16"/>
                <w:szCs w:val="16"/>
              </w:rPr>
              <w:t>Wykonawca jest zobowiązany do złożenia, w terminie 7 dni od dnia zawarcia umowy, dokumentu potwierdzającego, że podmiot, który będzie realizował serwis urządzeń jest producentem lub autoryzowanym partnerem serwisowym producenta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;</w:t>
            </w:r>
          </w:p>
          <w:p w14:paraId="7EF86A09" w14:textId="14BBB3DF" w:rsidR="00D2679A" w:rsidRPr="0025068F" w:rsidRDefault="00D2679A" w:rsidP="00D2679A">
            <w:pPr>
              <w:numPr>
                <w:ilvl w:val="0"/>
                <w:numId w:val="15"/>
              </w:numPr>
              <w:ind w:left="146" w:hanging="142"/>
              <w:rPr>
                <w:rFonts w:asciiTheme="minorHAnsi" w:hAnsiTheme="minorHAnsi" w:cstheme="minorHAnsi"/>
                <w:sz w:val="16"/>
                <w:szCs w:val="16"/>
              </w:rPr>
            </w:pP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Wymagane okno czasowe dla zgłaszania usterek </w:t>
            </w:r>
            <w:r w:rsidR="00CA5522">
              <w:rPr>
                <w:rFonts w:asciiTheme="minorHAnsi" w:hAnsiTheme="minorHAnsi" w:cstheme="minorHAnsi"/>
                <w:sz w:val="16"/>
                <w:szCs w:val="16"/>
              </w:rPr>
              <w:t>to</w:t>
            </w:r>
            <w:r w:rsidRPr="0025068F">
              <w:rPr>
                <w:rFonts w:asciiTheme="minorHAnsi" w:hAnsiTheme="minorHAnsi" w:cstheme="minorHAnsi"/>
                <w:sz w:val="16"/>
                <w:szCs w:val="16"/>
              </w:rPr>
              <w:t xml:space="preserve"> wszystkie dni robocze w godzinach od 8:00 do 16:00. Zgłoszenie serwisowe przyjmowane poprzez stronę www lub telefoniczne.</w:t>
            </w:r>
          </w:p>
        </w:tc>
      </w:tr>
    </w:tbl>
    <w:p w14:paraId="3CF96695" w14:textId="77777777" w:rsidR="005E5DDC" w:rsidRPr="0025068F" w:rsidRDefault="005E5DDC" w:rsidP="005E5DDC">
      <w:pPr>
        <w:spacing w:line="360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14:paraId="6F4B0FBA" w14:textId="77777777" w:rsidR="004F386D" w:rsidRPr="0025068F" w:rsidRDefault="004F386D" w:rsidP="004F386D">
      <w:pPr>
        <w:rPr>
          <w:rFonts w:asciiTheme="minorHAnsi" w:hAnsiTheme="minorHAnsi" w:cstheme="minorHAnsi"/>
          <w:sz w:val="16"/>
          <w:szCs w:val="16"/>
        </w:rPr>
      </w:pPr>
    </w:p>
    <w:sectPr w:rsidR="004F386D" w:rsidRPr="0025068F">
      <w:headerReference w:type="default" r:id="rId8"/>
      <w:footerReference w:type="default" r:id="rId9"/>
      <w:pgSz w:w="11906" w:h="16838"/>
      <w:pgMar w:top="567" w:right="1021" w:bottom="56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34391" w14:textId="77777777" w:rsidR="00085CC2" w:rsidRDefault="00085CC2">
      <w:r>
        <w:separator/>
      </w:r>
    </w:p>
  </w:endnote>
  <w:endnote w:type="continuationSeparator" w:id="0">
    <w:p w14:paraId="4AD2DBA8" w14:textId="77777777" w:rsidR="00085CC2" w:rsidRDefault="0008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1DD" w14:textId="4F6B747A" w:rsidR="00565449" w:rsidRDefault="00565449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3C7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F69EAC1" w14:textId="77777777" w:rsidR="00565449" w:rsidRDefault="00565449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042DA" w14:textId="77777777" w:rsidR="00085CC2" w:rsidRDefault="00085CC2">
      <w:r>
        <w:separator/>
      </w:r>
    </w:p>
  </w:footnote>
  <w:footnote w:type="continuationSeparator" w:id="0">
    <w:p w14:paraId="167BF3B5" w14:textId="77777777" w:rsidR="00085CC2" w:rsidRDefault="00085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AE9D" w14:textId="77777777" w:rsidR="00565449" w:rsidRDefault="00565449">
    <w:pPr>
      <w:pStyle w:val="Nagwek"/>
      <w:framePr w:wrap="auto" w:vAnchor="text" w:hAnchor="margin" w:xAlign="right" w:y="1"/>
      <w:rPr>
        <w:rStyle w:val="Numerstrony"/>
      </w:rPr>
    </w:pPr>
  </w:p>
  <w:p w14:paraId="06979B99" w14:textId="77777777" w:rsidR="00565449" w:rsidRDefault="00565449">
    <w:pPr>
      <w:pStyle w:val="Nagwek"/>
      <w:tabs>
        <w:tab w:val="clear" w:pos="9072"/>
        <w:tab w:val="right" w:pos="9639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E556C998"/>
    <w:name w:val="WW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7"/>
    <w:multiLevelType w:val="multilevel"/>
    <w:tmpl w:val="00000017"/>
    <w:name w:val="WWNum39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8"/>
    <w:multiLevelType w:val="multilevel"/>
    <w:tmpl w:val="00000018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9"/>
    <w:multiLevelType w:val="multilevel"/>
    <w:tmpl w:val="B4966F36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00001A"/>
    <w:multiLevelType w:val="multilevel"/>
    <w:tmpl w:val="0000001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1C"/>
    <w:multiLevelType w:val="multilevel"/>
    <w:tmpl w:val="0000001C"/>
    <w:name w:val="WWNum4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1D"/>
    <w:multiLevelType w:val="multilevel"/>
    <w:tmpl w:val="0000001D"/>
    <w:name w:val="WWNum4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04F433A0"/>
    <w:multiLevelType w:val="hybridMultilevel"/>
    <w:tmpl w:val="649073E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A1870D8"/>
    <w:multiLevelType w:val="hybridMultilevel"/>
    <w:tmpl w:val="B41AED4E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0C5557B4"/>
    <w:multiLevelType w:val="hybridMultilevel"/>
    <w:tmpl w:val="9EAA5CC0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0E3F3D78"/>
    <w:multiLevelType w:val="hybridMultilevel"/>
    <w:tmpl w:val="82D0F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65F2E"/>
    <w:multiLevelType w:val="hybridMultilevel"/>
    <w:tmpl w:val="46F475AC"/>
    <w:lvl w:ilvl="0" w:tplc="D9148530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574767"/>
    <w:multiLevelType w:val="hybridMultilevel"/>
    <w:tmpl w:val="EC54DB60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310F5"/>
    <w:multiLevelType w:val="hybridMultilevel"/>
    <w:tmpl w:val="7CE86A22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25F4095"/>
    <w:multiLevelType w:val="hybridMultilevel"/>
    <w:tmpl w:val="9BBCF6D4"/>
    <w:lvl w:ilvl="0" w:tplc="763E9BC4">
      <w:start w:val="1"/>
      <w:numFmt w:val="bullet"/>
      <w:lvlText w:val=""/>
      <w:lvlJc w:val="left"/>
      <w:pPr>
        <w:ind w:left="8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5" w15:restartNumberingAfterBreak="0">
    <w:nsid w:val="262B0026"/>
    <w:multiLevelType w:val="hybridMultilevel"/>
    <w:tmpl w:val="BFF22DD8"/>
    <w:lvl w:ilvl="0" w:tplc="10D04B6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6" w15:restartNumberingAfterBreak="0">
    <w:nsid w:val="3CA5402C"/>
    <w:multiLevelType w:val="hybridMultilevel"/>
    <w:tmpl w:val="2E3C211E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FB712D"/>
    <w:multiLevelType w:val="hybridMultilevel"/>
    <w:tmpl w:val="5BAC5D94"/>
    <w:lvl w:ilvl="0" w:tplc="80DC1E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AF31451"/>
    <w:multiLevelType w:val="hybridMultilevel"/>
    <w:tmpl w:val="99CA6402"/>
    <w:lvl w:ilvl="0" w:tplc="1AC421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778AC"/>
    <w:multiLevelType w:val="hybridMultilevel"/>
    <w:tmpl w:val="4E2EAB1C"/>
    <w:lvl w:ilvl="0" w:tplc="763E9BC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4BB527A5"/>
    <w:multiLevelType w:val="hybridMultilevel"/>
    <w:tmpl w:val="635C5BF6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8D3B4A"/>
    <w:multiLevelType w:val="hybridMultilevel"/>
    <w:tmpl w:val="A0C66622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A62AA"/>
    <w:multiLevelType w:val="hybridMultilevel"/>
    <w:tmpl w:val="A3DEEDD8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60876AB9"/>
    <w:multiLevelType w:val="hybridMultilevel"/>
    <w:tmpl w:val="ED68705C"/>
    <w:lvl w:ilvl="0" w:tplc="763E9BC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6513616F"/>
    <w:multiLevelType w:val="hybridMultilevel"/>
    <w:tmpl w:val="C728DCB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8A1B18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6286628"/>
    <w:multiLevelType w:val="hybridMultilevel"/>
    <w:tmpl w:val="C4D831CA"/>
    <w:lvl w:ilvl="0" w:tplc="D9148530">
      <w:start w:val="512"/>
      <w:numFmt w:val="bullet"/>
      <w:lvlText w:val="-"/>
      <w:lvlJc w:val="left"/>
      <w:pPr>
        <w:ind w:left="36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0C7AD9"/>
    <w:multiLevelType w:val="hybridMultilevel"/>
    <w:tmpl w:val="495A7704"/>
    <w:lvl w:ilvl="0" w:tplc="33A6E518">
      <w:start w:val="1"/>
      <w:numFmt w:val="bullet"/>
      <w:lvlText w:val=""/>
      <w:lvlJc w:val="left"/>
      <w:pPr>
        <w:ind w:left="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27" w15:restartNumberingAfterBreak="0">
    <w:nsid w:val="6BDF0C57"/>
    <w:multiLevelType w:val="hybridMultilevel"/>
    <w:tmpl w:val="10C46F7A"/>
    <w:lvl w:ilvl="0" w:tplc="763E9B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7186A"/>
    <w:multiLevelType w:val="hybridMultilevel"/>
    <w:tmpl w:val="9BCA2194"/>
    <w:lvl w:ilvl="0" w:tplc="0415000F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579697E6">
      <w:numFmt w:val="bullet"/>
      <w:lvlText w:val="-"/>
      <w:lvlJc w:val="left"/>
      <w:pPr>
        <w:ind w:left="1639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24"/>
  </w:num>
  <w:num w:numId="4">
    <w:abstractNumId w:val="9"/>
  </w:num>
  <w:num w:numId="5">
    <w:abstractNumId w:val="13"/>
  </w:num>
  <w:num w:numId="6">
    <w:abstractNumId w:val="8"/>
  </w:num>
  <w:num w:numId="7">
    <w:abstractNumId w:val="22"/>
  </w:num>
  <w:num w:numId="8">
    <w:abstractNumId w:val="27"/>
  </w:num>
  <w:num w:numId="9">
    <w:abstractNumId w:val="23"/>
  </w:num>
  <w:num w:numId="10">
    <w:abstractNumId w:val="14"/>
  </w:num>
  <w:num w:numId="11">
    <w:abstractNumId w:val="21"/>
  </w:num>
  <w:num w:numId="12">
    <w:abstractNumId w:val="18"/>
  </w:num>
  <w:num w:numId="13">
    <w:abstractNumId w:val="19"/>
  </w:num>
  <w:num w:numId="14">
    <w:abstractNumId w:val="12"/>
  </w:num>
  <w:num w:numId="15">
    <w:abstractNumId w:val="16"/>
  </w:num>
  <w:num w:numId="16">
    <w:abstractNumId w:val="20"/>
  </w:num>
  <w:num w:numId="17">
    <w:abstractNumId w:val="4"/>
  </w:num>
  <w:num w:numId="18">
    <w:abstractNumId w:val="28"/>
  </w:num>
  <w:num w:numId="19">
    <w:abstractNumId w:val="5"/>
  </w:num>
  <w:num w:numId="20">
    <w:abstractNumId w:val="11"/>
  </w:num>
  <w:num w:numId="21">
    <w:abstractNumId w:val="25"/>
  </w:num>
  <w:num w:numId="22">
    <w:abstractNumId w:val="6"/>
  </w:num>
  <w:num w:numId="23">
    <w:abstractNumId w:val="10"/>
  </w:num>
  <w:num w:numId="24">
    <w:abstractNumId w:val="17"/>
  </w:num>
  <w:num w:numId="25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A6"/>
    <w:rsid w:val="0000732A"/>
    <w:rsid w:val="00025647"/>
    <w:rsid w:val="00030DB3"/>
    <w:rsid w:val="00031446"/>
    <w:rsid w:val="00085CC2"/>
    <w:rsid w:val="00094ED9"/>
    <w:rsid w:val="000B3822"/>
    <w:rsid w:val="000C2A76"/>
    <w:rsid w:val="000D5A50"/>
    <w:rsid w:val="000E00BD"/>
    <w:rsid w:val="000F0D14"/>
    <w:rsid w:val="000F1FDA"/>
    <w:rsid w:val="0012304C"/>
    <w:rsid w:val="001402F0"/>
    <w:rsid w:val="00162431"/>
    <w:rsid w:val="001647A1"/>
    <w:rsid w:val="001758A6"/>
    <w:rsid w:val="00191953"/>
    <w:rsid w:val="001A1ED7"/>
    <w:rsid w:val="001E3BCC"/>
    <w:rsid w:val="00201463"/>
    <w:rsid w:val="00207CE3"/>
    <w:rsid w:val="00232220"/>
    <w:rsid w:val="00237AAC"/>
    <w:rsid w:val="00244C7C"/>
    <w:rsid w:val="0025068F"/>
    <w:rsid w:val="00255AE1"/>
    <w:rsid w:val="00256936"/>
    <w:rsid w:val="002A05EE"/>
    <w:rsid w:val="002A2FC8"/>
    <w:rsid w:val="002B1FC6"/>
    <w:rsid w:val="002B5A72"/>
    <w:rsid w:val="002D10BF"/>
    <w:rsid w:val="002F7FB7"/>
    <w:rsid w:val="003135D9"/>
    <w:rsid w:val="003158B8"/>
    <w:rsid w:val="00345931"/>
    <w:rsid w:val="0039294E"/>
    <w:rsid w:val="003A2651"/>
    <w:rsid w:val="003A325D"/>
    <w:rsid w:val="003B01B1"/>
    <w:rsid w:val="003B3304"/>
    <w:rsid w:val="003C1874"/>
    <w:rsid w:val="003F37EE"/>
    <w:rsid w:val="00405D2A"/>
    <w:rsid w:val="00420117"/>
    <w:rsid w:val="00483FC8"/>
    <w:rsid w:val="00494551"/>
    <w:rsid w:val="004A5572"/>
    <w:rsid w:val="004B5C66"/>
    <w:rsid w:val="004B7476"/>
    <w:rsid w:val="004D263A"/>
    <w:rsid w:val="004F386D"/>
    <w:rsid w:val="00501B97"/>
    <w:rsid w:val="00523FAA"/>
    <w:rsid w:val="005373D4"/>
    <w:rsid w:val="005538D5"/>
    <w:rsid w:val="00565449"/>
    <w:rsid w:val="00572097"/>
    <w:rsid w:val="00582FBC"/>
    <w:rsid w:val="00584DC0"/>
    <w:rsid w:val="005A27D4"/>
    <w:rsid w:val="005E46BB"/>
    <w:rsid w:val="005E5DDC"/>
    <w:rsid w:val="00603BCB"/>
    <w:rsid w:val="0061326A"/>
    <w:rsid w:val="00622E1C"/>
    <w:rsid w:val="00624A3D"/>
    <w:rsid w:val="0063057E"/>
    <w:rsid w:val="006448F2"/>
    <w:rsid w:val="006458D3"/>
    <w:rsid w:val="00646264"/>
    <w:rsid w:val="00655E4E"/>
    <w:rsid w:val="0065640D"/>
    <w:rsid w:val="00685798"/>
    <w:rsid w:val="006B7D78"/>
    <w:rsid w:val="006C5524"/>
    <w:rsid w:val="006D191A"/>
    <w:rsid w:val="006F4157"/>
    <w:rsid w:val="00704CCF"/>
    <w:rsid w:val="007110D1"/>
    <w:rsid w:val="00715F07"/>
    <w:rsid w:val="00747836"/>
    <w:rsid w:val="0075504D"/>
    <w:rsid w:val="00760067"/>
    <w:rsid w:val="007B316E"/>
    <w:rsid w:val="007C27FD"/>
    <w:rsid w:val="007E1F46"/>
    <w:rsid w:val="007E2B6A"/>
    <w:rsid w:val="008261FC"/>
    <w:rsid w:val="00844E29"/>
    <w:rsid w:val="0086059F"/>
    <w:rsid w:val="00875534"/>
    <w:rsid w:val="008A46B9"/>
    <w:rsid w:val="008E062E"/>
    <w:rsid w:val="008E7946"/>
    <w:rsid w:val="008F2082"/>
    <w:rsid w:val="00900B56"/>
    <w:rsid w:val="00911B1A"/>
    <w:rsid w:val="00930FE8"/>
    <w:rsid w:val="00941202"/>
    <w:rsid w:val="00956419"/>
    <w:rsid w:val="00973DD0"/>
    <w:rsid w:val="00976AAE"/>
    <w:rsid w:val="00986F0A"/>
    <w:rsid w:val="009A2A66"/>
    <w:rsid w:val="009D0154"/>
    <w:rsid w:val="009D39CA"/>
    <w:rsid w:val="009D4AC1"/>
    <w:rsid w:val="009E4C40"/>
    <w:rsid w:val="00A06F71"/>
    <w:rsid w:val="00A07012"/>
    <w:rsid w:val="00A15766"/>
    <w:rsid w:val="00A441C0"/>
    <w:rsid w:val="00A63B66"/>
    <w:rsid w:val="00A72F74"/>
    <w:rsid w:val="00A81ACB"/>
    <w:rsid w:val="00AC2DEE"/>
    <w:rsid w:val="00AC6DEF"/>
    <w:rsid w:val="00AD2F20"/>
    <w:rsid w:val="00B03932"/>
    <w:rsid w:val="00B049A8"/>
    <w:rsid w:val="00B1461B"/>
    <w:rsid w:val="00B16326"/>
    <w:rsid w:val="00B432AF"/>
    <w:rsid w:val="00B9626D"/>
    <w:rsid w:val="00BA0856"/>
    <w:rsid w:val="00BB3377"/>
    <w:rsid w:val="00BC717D"/>
    <w:rsid w:val="00BE7BC1"/>
    <w:rsid w:val="00BF61E1"/>
    <w:rsid w:val="00C00D97"/>
    <w:rsid w:val="00C03113"/>
    <w:rsid w:val="00C03AA6"/>
    <w:rsid w:val="00C723EF"/>
    <w:rsid w:val="00C74E90"/>
    <w:rsid w:val="00C81C6F"/>
    <w:rsid w:val="00C867FB"/>
    <w:rsid w:val="00C92F57"/>
    <w:rsid w:val="00CA08CA"/>
    <w:rsid w:val="00CA5522"/>
    <w:rsid w:val="00CA7AC3"/>
    <w:rsid w:val="00CB6EAD"/>
    <w:rsid w:val="00CF1B4E"/>
    <w:rsid w:val="00D2679A"/>
    <w:rsid w:val="00D33D29"/>
    <w:rsid w:val="00D507E0"/>
    <w:rsid w:val="00D541E7"/>
    <w:rsid w:val="00D72C7F"/>
    <w:rsid w:val="00DB4517"/>
    <w:rsid w:val="00DC4F20"/>
    <w:rsid w:val="00DE3F56"/>
    <w:rsid w:val="00DE4DE5"/>
    <w:rsid w:val="00DF670C"/>
    <w:rsid w:val="00E013A6"/>
    <w:rsid w:val="00E07010"/>
    <w:rsid w:val="00E61C14"/>
    <w:rsid w:val="00E717A7"/>
    <w:rsid w:val="00E71F68"/>
    <w:rsid w:val="00E727A9"/>
    <w:rsid w:val="00E965CC"/>
    <w:rsid w:val="00EC471F"/>
    <w:rsid w:val="00EF61D6"/>
    <w:rsid w:val="00F04D3B"/>
    <w:rsid w:val="00F104C0"/>
    <w:rsid w:val="00F234C6"/>
    <w:rsid w:val="00F33144"/>
    <w:rsid w:val="00F46C9C"/>
    <w:rsid w:val="00F535AB"/>
    <w:rsid w:val="00F75A8A"/>
    <w:rsid w:val="00F8289B"/>
    <w:rsid w:val="00F8371C"/>
    <w:rsid w:val="00F868EC"/>
    <w:rsid w:val="00FB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C68F"/>
  <w15:docId w15:val="{A9C235C8-CD1A-4EE6-90B6-40EF6869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5A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38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8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20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209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11">
    <w:name w:val="Font Style111"/>
    <w:uiPriority w:val="99"/>
    <w:rsid w:val="006F4157"/>
    <w:rPr>
      <w:rFonts w:ascii="Arial" w:hAnsi="Arial"/>
      <w:color w:val="000000"/>
      <w:sz w:val="1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2097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20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572097"/>
    <w:pPr>
      <w:jc w:val="both"/>
    </w:pPr>
    <w:rPr>
      <w:sz w:val="19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572097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customStyle="1" w:styleId="ust">
    <w:name w:val="ust"/>
    <w:rsid w:val="00572097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5720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720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berList">
    <w:name w:val="Number List"/>
    <w:rsid w:val="00572097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character" w:styleId="Hipercze">
    <w:name w:val="Hyperlink"/>
    <w:rsid w:val="00572097"/>
    <w:rPr>
      <w:color w:val="0000FF"/>
      <w:u w:val="single"/>
    </w:rPr>
  </w:style>
  <w:style w:type="paragraph" w:customStyle="1" w:styleId="Standard">
    <w:name w:val="Standard"/>
    <w:rsid w:val="0057209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BA0856"/>
    <w:pPr>
      <w:ind w:left="720"/>
      <w:contextualSpacing/>
    </w:pPr>
  </w:style>
  <w:style w:type="table" w:styleId="Tabela-Siatka">
    <w:name w:val="Table Grid"/>
    <w:basedOn w:val="Standardowy"/>
    <w:uiPriority w:val="59"/>
    <w:rsid w:val="00BA0856"/>
    <w:pPr>
      <w:spacing w:beforeAutospacing="1" w:after="0" w:afterAutospacing="1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A441C0"/>
  </w:style>
  <w:style w:type="paragraph" w:styleId="Stopka">
    <w:name w:val="footer"/>
    <w:basedOn w:val="Normalny"/>
    <w:link w:val="StopkaZnak"/>
    <w:rsid w:val="00A441C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441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8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CA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85798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0B3822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8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Bezodstpw">
    <w:name w:val="No Spacing"/>
    <w:uiPriority w:val="1"/>
    <w:qFormat/>
    <w:rsid w:val="00F7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75A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zwaUrzedu">
    <w:name w:val="• Nazwa Urzedu"/>
    <w:qFormat/>
    <w:rsid w:val="0012304C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character" w:styleId="Uwydatnienie">
    <w:name w:val="Emphasis"/>
    <w:basedOn w:val="Domylnaczcionkaakapitu"/>
    <w:uiPriority w:val="20"/>
    <w:qFormat/>
    <w:rsid w:val="00E01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D8124-B869-498E-9865-D7FF13AF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Białczak</dc:creator>
  <cp:keywords/>
  <dc:description/>
  <cp:lastModifiedBy>Andrzej Słowiński</cp:lastModifiedBy>
  <cp:revision>2</cp:revision>
  <cp:lastPrinted>2020-06-18T07:34:00Z</cp:lastPrinted>
  <dcterms:created xsi:type="dcterms:W3CDTF">2023-07-17T11:52:00Z</dcterms:created>
  <dcterms:modified xsi:type="dcterms:W3CDTF">2023-07-17T11:52:00Z</dcterms:modified>
</cp:coreProperties>
</file>