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40A2" w:rsidRPr="00E940A2" w:rsidRDefault="00E940A2" w:rsidP="00E940A2">
      <w:pPr>
        <w:tabs>
          <w:tab w:val="left" w:pos="5632"/>
        </w:tabs>
        <w:spacing w:line="360" w:lineRule="auto"/>
        <w:jc w:val="right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Załącznik Nr 1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/>
          <w:bCs/>
          <w:lang w:val="pl-PL"/>
        </w:rPr>
      </w:pPr>
    </w:p>
    <w:p w:rsid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E940A2">
        <w:rPr>
          <w:rFonts w:ascii="Arial" w:hAnsi="Arial" w:cs="Arial"/>
          <w:b/>
          <w:bCs/>
          <w:lang w:val="pl-PL"/>
        </w:rPr>
        <w:t>SZCZEGÓŁOWY OPIS PRZEDMIOTU ZAMÓWIENIA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</w:p>
    <w:p w:rsidR="00E940A2" w:rsidRPr="00E940A2" w:rsidRDefault="00E940A2" w:rsidP="00E940A2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940A2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Województwa Warmińsko-Mazurskiego podczas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rozgrywek tenisa stołowego Lotto Superligi mężczyzn (</w:t>
      </w:r>
      <w:r w:rsidRPr="00E940A2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</w:t>
      </w:r>
      <w:r w:rsidR="001B6AFF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Pr="00E940A2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2 zespoły biorące udział w rozgrywkach)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 oraz 1. ligi kobiet (</w:t>
      </w:r>
      <w:r w:rsidRPr="00E940A2">
        <w:rPr>
          <w:rFonts w:ascii="Arial" w:hAnsi="Arial" w:cs="Arial"/>
          <w:b/>
          <w:bCs/>
          <w:sz w:val="22"/>
          <w:szCs w:val="22"/>
          <w:u w:val="single"/>
          <w:lang w:val="pl-PL"/>
        </w:rPr>
        <w:t>w oparciu o 1 zespół biorący udział w rozgrywkach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 xml:space="preserve">) w sezonie </w:t>
      </w:r>
      <w:r w:rsidRPr="00E940A2">
        <w:rPr>
          <w:rFonts w:ascii="Arial" w:hAnsi="Arial" w:cs="Arial"/>
          <w:b/>
          <w:bCs/>
          <w:sz w:val="22"/>
          <w:szCs w:val="22"/>
        </w:rPr>
        <w:t>2021/2022</w:t>
      </w:r>
      <w:r w:rsidRPr="00E940A2">
        <w:rPr>
          <w:rFonts w:ascii="Arial" w:hAnsi="Arial" w:cs="Arial"/>
          <w:b/>
          <w:bCs/>
          <w:sz w:val="22"/>
          <w:szCs w:val="22"/>
          <w:lang w:val="pl-PL"/>
        </w:rPr>
        <w:t>, w szczególności poprzez:</w:t>
      </w:r>
    </w:p>
    <w:p w:rsidR="00E940A2" w:rsidRPr="00E940A2" w:rsidRDefault="00E940A2" w:rsidP="00E940A2">
      <w:pPr>
        <w:tabs>
          <w:tab w:val="left" w:pos="563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na koszulkach zawodników zespołów, w oparciu o które będzie świadczona usługa, w których występować będą podczas meczów </w:t>
      </w:r>
      <w:r w:rsidR="001B6AFF">
        <w:rPr>
          <w:rFonts w:ascii="Arial" w:hAnsi="Arial" w:cs="Arial"/>
          <w:sz w:val="22"/>
          <w:szCs w:val="22"/>
          <w:lang w:val="pl-PL"/>
        </w:rPr>
        <w:br/>
      </w:r>
      <w:r w:rsidRPr="00E940A2">
        <w:rPr>
          <w:rFonts w:ascii="Arial" w:hAnsi="Arial" w:cs="Arial"/>
          <w:sz w:val="22"/>
          <w:szCs w:val="22"/>
          <w:lang w:val="pl-PL"/>
        </w:rPr>
        <w:t xml:space="preserve">w ramach rozgrywek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tenisa stoł</w:t>
      </w:r>
      <w:r w:rsidR="001B6AFF">
        <w:rPr>
          <w:rFonts w:ascii="Arial" w:hAnsi="Arial" w:cs="Arial"/>
          <w:bCs/>
          <w:sz w:val="22"/>
          <w:szCs w:val="22"/>
          <w:lang w:val="pl-PL"/>
        </w:rPr>
        <w:t xml:space="preserve">owego Lotto Superligi mężczyzn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oraz 1. ligi kobiet;</w:t>
      </w: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umieszczenie logo Województwa Warmińsko-Mazurskiego o wymiarach co najmniej </w:t>
      </w:r>
      <w:r w:rsidRPr="00E940A2">
        <w:rPr>
          <w:rFonts w:ascii="Arial" w:hAnsi="Arial" w:cs="Arial"/>
          <w:sz w:val="22"/>
          <w:szCs w:val="22"/>
          <w:lang w:val="pl-PL"/>
        </w:rPr>
        <w:br/>
        <w:t>10 cm x 10 cm na ściankach reklamowych stanowiących tło podczas wywiadów telewizyjnych udzielonych w czasie i po zakończeniu meczów rozgrywanych przed własną publicznością</w:t>
      </w:r>
      <w:r w:rsidR="001B6AFF">
        <w:rPr>
          <w:rFonts w:ascii="Arial" w:hAnsi="Arial" w:cs="Arial"/>
          <w:sz w:val="22"/>
          <w:szCs w:val="22"/>
          <w:lang w:val="pl-PL"/>
        </w:rPr>
        <w:t xml:space="preserve"> (jeżeli takie będą)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 przez zespoły, </w:t>
      </w:r>
      <w:r w:rsidRPr="00E940A2">
        <w:rPr>
          <w:rFonts w:ascii="Arial" w:hAnsi="Arial" w:cs="Arial"/>
          <w:sz w:val="22"/>
          <w:szCs w:val="22"/>
        </w:rPr>
        <w:t xml:space="preserve">w oparciu o które będzie świadczona usługa promocyjna 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podczas rozgrywek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tenisa stołowego Lotto Superligi mężczyzn oraz 1. ligi kobiet;</w:t>
      </w: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umieszczenie 4 banerów podczas meczów, w których zespoły, w oparciu o które będzie świadczona usługa będą gospodarzami </w:t>
      </w:r>
      <w:r w:rsidR="001B6AFF">
        <w:rPr>
          <w:rFonts w:ascii="Arial" w:hAnsi="Arial" w:cs="Arial"/>
          <w:sz w:val="22"/>
          <w:szCs w:val="22"/>
          <w:lang w:val="pl-PL"/>
        </w:rPr>
        <w:t xml:space="preserve">(jeżeli takie będą) 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w ramach rozgrywek </w:t>
      </w:r>
      <w:r w:rsidRPr="00E940A2">
        <w:rPr>
          <w:rFonts w:ascii="Arial" w:hAnsi="Arial" w:cs="Arial"/>
          <w:bCs/>
          <w:sz w:val="22"/>
          <w:szCs w:val="22"/>
          <w:lang w:val="pl-PL"/>
        </w:rPr>
        <w:t>tenisa stołowego Lotto Superligi mężczyzn oraz 1. ligi kobiet (banery do odbioru w siedzibie Zamawiającego);</w:t>
      </w: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umieszczenie i zapewnienie wyświetlania logo Województwa Warmińsko-Mazurskiego </w:t>
      </w:r>
      <w:r w:rsidRPr="00E940A2">
        <w:rPr>
          <w:rFonts w:ascii="Arial" w:hAnsi="Arial" w:cs="Arial"/>
          <w:sz w:val="22"/>
          <w:szCs w:val="22"/>
          <w:lang w:val="pl-PL"/>
        </w:rPr>
        <w:br/>
        <w:t xml:space="preserve">na głównej stronie internetowej Wykonawcy, które będzie podlinkowane do strony internetowej </w:t>
      </w:r>
      <w:hyperlink r:id="rId8" w:history="1">
        <w:r w:rsidRPr="00E940A2">
          <w:rPr>
            <w:rStyle w:val="Hyperlink"/>
            <w:rFonts w:ascii="Arial" w:hAnsi="Arial" w:cs="Arial"/>
            <w:sz w:val="22"/>
            <w:szCs w:val="22"/>
            <w:lang w:val="pl-PL"/>
          </w:rPr>
          <w:t>https://mazury.travel/</w:t>
        </w:r>
      </w:hyperlink>
      <w:r w:rsidRPr="00E940A2">
        <w:rPr>
          <w:rFonts w:ascii="Arial" w:hAnsi="Arial" w:cs="Arial"/>
          <w:sz w:val="22"/>
          <w:szCs w:val="22"/>
          <w:u w:val="single"/>
          <w:lang w:val="pl-PL"/>
        </w:rPr>
        <w:t xml:space="preserve">, </w:t>
      </w:r>
      <w:r w:rsidRPr="00E940A2">
        <w:rPr>
          <w:rFonts w:ascii="Arial" w:hAnsi="Arial" w:cs="Arial"/>
          <w:sz w:val="22"/>
          <w:szCs w:val="22"/>
          <w:lang w:val="pl-PL"/>
        </w:rPr>
        <w:t>przez cały okres trwania umowy;</w:t>
      </w:r>
    </w:p>
    <w:p w:rsidR="00E940A2" w:rsidRPr="00E940A2" w:rsidRDefault="00E940A2" w:rsidP="00E940A2">
      <w:pPr>
        <w:numPr>
          <w:ilvl w:val="0"/>
          <w:numId w:val="4"/>
        </w:num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przygotowanie i umieszczenie w mediach społecznościowych zawodników/zespołów, </w:t>
      </w:r>
      <w:r w:rsidRPr="00E940A2">
        <w:rPr>
          <w:rFonts w:ascii="Arial" w:hAnsi="Arial" w:cs="Arial"/>
          <w:sz w:val="22"/>
          <w:szCs w:val="22"/>
          <w:lang w:val="pl-PL"/>
        </w:rPr>
        <w:br/>
        <w:t xml:space="preserve">w oparciu o które będzie świadczona usługa promocyjna, fotorelacji z 3 wizyt zawodników </w:t>
      </w:r>
      <w:r w:rsidRPr="00E940A2">
        <w:rPr>
          <w:rFonts w:ascii="Arial" w:hAnsi="Arial" w:cs="Arial"/>
          <w:sz w:val="22"/>
          <w:szCs w:val="22"/>
          <w:lang w:val="pl-PL"/>
        </w:rPr>
        <w:br/>
        <w:t>(z każdego zespołu, w oparciu o który będzie świadczona usługa promocyjna) w miejscu wybranych atrakcji turystycznych z terenu Województwa Warmińsko-Mazurskiego (miejsca do uzgodnienia z Zamawiającym) z hasztagiem #OdkrywajWarmieiMazury.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Wykonawca zobowiązany jest zapewnić kibicom będącym osobami ze szczególnymi potrzebami </w:t>
      </w:r>
      <w:r w:rsidRPr="00E940A2">
        <w:rPr>
          <w:rFonts w:ascii="Arial" w:hAnsi="Arial" w:cs="Arial"/>
          <w:bCs/>
          <w:sz w:val="22"/>
          <w:szCs w:val="22"/>
          <w:lang w:val="pl-PL"/>
        </w:rPr>
        <w:br/>
        <w:t xml:space="preserve">w rozumieniu ustawy z dnia </w:t>
      </w:r>
      <w:r w:rsidRPr="00E940A2">
        <w:rPr>
          <w:rFonts w:ascii="Arial" w:hAnsi="Arial" w:cs="Arial"/>
          <w:sz w:val="22"/>
          <w:szCs w:val="22"/>
          <w:lang w:val="pl-PL"/>
        </w:rPr>
        <w:t xml:space="preserve">19 lipca 2019 r. o zapewnianiu dostępności osobom ze szczególnymi potrzebami (t.j. Dz. U. z 2020 r. poz. 1062), 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możliwość udziału w meczach rozgrywanych w roli gospodarza </w:t>
      </w:r>
      <w:r w:rsidR="001B6AFF">
        <w:rPr>
          <w:rFonts w:ascii="Arial" w:hAnsi="Arial" w:cs="Arial"/>
          <w:bCs/>
          <w:sz w:val="22"/>
          <w:szCs w:val="22"/>
          <w:lang w:val="pl-PL"/>
        </w:rPr>
        <w:t xml:space="preserve">(jeżeli takie będą) </w:t>
      </w:r>
      <w:r w:rsidRPr="00E940A2">
        <w:rPr>
          <w:rFonts w:ascii="Arial" w:hAnsi="Arial" w:cs="Arial"/>
          <w:bCs/>
          <w:sz w:val="22"/>
          <w:szCs w:val="22"/>
          <w:lang w:val="pl-PL"/>
        </w:rPr>
        <w:t xml:space="preserve">przez zespoły, w oparciu o które jest świadczona usługa promocyjna </w:t>
      </w:r>
      <w:r w:rsidR="001B6AFF">
        <w:rPr>
          <w:rFonts w:ascii="Arial" w:hAnsi="Arial" w:cs="Arial"/>
          <w:bCs/>
          <w:sz w:val="22"/>
          <w:szCs w:val="22"/>
          <w:lang w:val="pl-PL"/>
        </w:rPr>
        <w:br/>
      </w:r>
      <w:r w:rsidRPr="00E940A2">
        <w:rPr>
          <w:rFonts w:ascii="Arial" w:hAnsi="Arial" w:cs="Arial"/>
          <w:bCs/>
          <w:sz w:val="22"/>
          <w:szCs w:val="22"/>
          <w:lang w:val="pl-PL"/>
        </w:rPr>
        <w:lastRenderedPageBreak/>
        <w:t>w ramach rozgrywek, w tym zapewnić im odpowiednie miejsca oraz trasę poruszania się, a także takie rozmieszczenie architektoniczne w budynku, w którym odbywać się będą te mecze, które umożliwiają dostęp do wszystkich pomieszczeń, z wyłączeniem pomieszczeń technicznych oraz zapewnienie tym osobom możliwości ewakuacji lub ich uratowanie w inny sposób.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940A2">
        <w:rPr>
          <w:rFonts w:ascii="Arial" w:hAnsi="Arial" w:cs="Arial"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9" w:history="1">
        <w:r w:rsidRPr="00E940A2">
          <w:rPr>
            <w:rStyle w:val="Hyperlink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E940A2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E940A2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Warmińsko-Mazurskiego.</w:t>
      </w:r>
    </w:p>
    <w:p w:rsidR="00E940A2" w:rsidRPr="00E940A2" w:rsidRDefault="00E940A2" w:rsidP="00E940A2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80DE4" w:rsidRPr="00480DE4" w:rsidRDefault="00480DE4" w:rsidP="00480DE4">
      <w:pPr>
        <w:tabs>
          <w:tab w:val="left" w:pos="56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480DE4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480DE4">
        <w:rPr>
          <w:rFonts w:ascii="Arial" w:hAnsi="Arial" w:cs="Arial"/>
          <w:bCs/>
          <w:sz w:val="22"/>
          <w:szCs w:val="22"/>
        </w:rPr>
        <w:br/>
        <w:t>w oparciu o który będzie świadczona usługa, nie później niż do dnia 31.05.2022 r.</w:t>
      </w:r>
    </w:p>
    <w:p w:rsidR="000078EE" w:rsidRPr="00480DE4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078EE" w:rsidRPr="00480DE4" w:rsidSect="000A4E81">
      <w:footerReference w:type="default" r:id="rId10"/>
      <w:headerReference w:type="first" r:id="rId11"/>
      <w:footerReference w:type="first" r:id="rId12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B0" w:rsidRDefault="003819B0">
      <w:r>
        <w:separator/>
      </w:r>
    </w:p>
  </w:endnote>
  <w:endnote w:type="continuationSeparator" w:id="0">
    <w:p w:rsidR="003819B0" w:rsidRDefault="0038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BA79B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88EF5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B0" w:rsidRDefault="003819B0">
      <w:r>
        <w:separator/>
      </w:r>
    </w:p>
  </w:footnote>
  <w:footnote w:type="continuationSeparator" w:id="0">
    <w:p w:rsidR="003819B0" w:rsidRDefault="0038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6AFF"/>
    <w:rsid w:val="001C408B"/>
    <w:rsid w:val="001E3F74"/>
    <w:rsid w:val="0023632B"/>
    <w:rsid w:val="002430F5"/>
    <w:rsid w:val="002605B7"/>
    <w:rsid w:val="00271AD1"/>
    <w:rsid w:val="00275514"/>
    <w:rsid w:val="00280362"/>
    <w:rsid w:val="00283BF1"/>
    <w:rsid w:val="002B692C"/>
    <w:rsid w:val="002F213B"/>
    <w:rsid w:val="002F47B6"/>
    <w:rsid w:val="00340D1A"/>
    <w:rsid w:val="003615C2"/>
    <w:rsid w:val="00362D6A"/>
    <w:rsid w:val="00380702"/>
    <w:rsid w:val="003819B0"/>
    <w:rsid w:val="00382255"/>
    <w:rsid w:val="003B689F"/>
    <w:rsid w:val="003C565E"/>
    <w:rsid w:val="003D03D1"/>
    <w:rsid w:val="003D1BFA"/>
    <w:rsid w:val="00444147"/>
    <w:rsid w:val="00472417"/>
    <w:rsid w:val="00480DE4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C11CF"/>
    <w:rsid w:val="005F20E1"/>
    <w:rsid w:val="005F21C3"/>
    <w:rsid w:val="005F7697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F01A4"/>
    <w:rsid w:val="009F368F"/>
    <w:rsid w:val="00A200A2"/>
    <w:rsid w:val="00A85193"/>
    <w:rsid w:val="00AD074F"/>
    <w:rsid w:val="00B1788B"/>
    <w:rsid w:val="00B22340"/>
    <w:rsid w:val="00B234C4"/>
    <w:rsid w:val="00B345AC"/>
    <w:rsid w:val="00B415D2"/>
    <w:rsid w:val="00B4348C"/>
    <w:rsid w:val="00B95D14"/>
    <w:rsid w:val="00BF1ABC"/>
    <w:rsid w:val="00C16652"/>
    <w:rsid w:val="00C25880"/>
    <w:rsid w:val="00C53C22"/>
    <w:rsid w:val="00C57601"/>
    <w:rsid w:val="00C73601"/>
    <w:rsid w:val="00C82323"/>
    <w:rsid w:val="00C85433"/>
    <w:rsid w:val="00C85DA2"/>
    <w:rsid w:val="00C93354"/>
    <w:rsid w:val="00CA0AA3"/>
    <w:rsid w:val="00CA5861"/>
    <w:rsid w:val="00CB2872"/>
    <w:rsid w:val="00CC1B0F"/>
    <w:rsid w:val="00CC6144"/>
    <w:rsid w:val="00CD539D"/>
    <w:rsid w:val="00CF7E2F"/>
    <w:rsid w:val="00D009D9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940A2"/>
    <w:rsid w:val="00EB1E5A"/>
    <w:rsid w:val="00F1345C"/>
    <w:rsid w:val="00F659A1"/>
    <w:rsid w:val="00F7338C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ury.trave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3010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3</cp:revision>
  <cp:lastPrinted>2021-01-12T08:54:00Z</cp:lastPrinted>
  <dcterms:created xsi:type="dcterms:W3CDTF">2021-12-29T17:21:00Z</dcterms:created>
  <dcterms:modified xsi:type="dcterms:W3CDTF">2022-02-14T09:53:00Z</dcterms:modified>
</cp:coreProperties>
</file>