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04A8C" w14:textId="40E89204" w:rsidR="00F45434" w:rsidRDefault="00F45434" w:rsidP="00F37E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5368250" wp14:editId="4B8E8A2B">
            <wp:extent cx="5760720" cy="576072"/>
            <wp:effectExtent l="0" t="0" r="0" b="0"/>
            <wp:docPr id="1" name="Obraz 1" descr="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E7A0" w14:textId="3F2A5480" w:rsidR="00F45434" w:rsidRPr="00F45434" w:rsidRDefault="00F45434" w:rsidP="00F45434">
      <w:pPr>
        <w:jc w:val="both"/>
        <w:rPr>
          <w:rFonts w:cs="Arial"/>
          <w:sz w:val="20"/>
          <w:szCs w:val="20"/>
        </w:rPr>
      </w:pPr>
      <w:r w:rsidRPr="00682F46">
        <w:rPr>
          <w:rFonts w:cs="Arial"/>
          <w:sz w:val="20"/>
          <w:szCs w:val="20"/>
        </w:rPr>
        <w:t xml:space="preserve">Załącznik nr </w:t>
      </w:r>
      <w:r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do Regulaminu konkursu -</w:t>
      </w:r>
      <w:r w:rsidRPr="00682F46">
        <w:rPr>
          <w:rFonts w:cs="Arial"/>
          <w:sz w:val="20"/>
          <w:szCs w:val="20"/>
        </w:rPr>
        <w:t xml:space="preserve"> Podstawowe informacje dotyczące uzyskiwania kwalifikacji w ramach projektów współfinansowanych z Europejskiego Funduszu Społecznego </w:t>
      </w:r>
    </w:p>
    <w:p w14:paraId="75E3A7AC" w14:textId="0442DC31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1A6E71D1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bookmarkStart w:id="0" w:name="_GoBack"/>
      <w:bookmarkEnd w:id="0"/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r. poz. 986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306F88D2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 xml:space="preserve">jest interpretacją Ministerstwa </w:t>
      </w:r>
      <w:r w:rsidR="00BF1215">
        <w:rPr>
          <w:rFonts w:ascii="Arial" w:hAnsi="Arial" w:cs="Arial"/>
          <w:sz w:val="20"/>
          <w:szCs w:val="20"/>
        </w:rPr>
        <w:t xml:space="preserve">Inwestycji i </w:t>
      </w:r>
      <w:r w:rsidR="00361FAE">
        <w:rPr>
          <w:rFonts w:ascii="Arial" w:hAnsi="Arial" w:cs="Arial"/>
          <w:sz w:val="20"/>
          <w:szCs w:val="20"/>
        </w:rPr>
        <w:t>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</w:t>
      </w:r>
      <w:proofErr w:type="spellStart"/>
      <w:r w:rsidR="008C7F33">
        <w:rPr>
          <w:rFonts w:ascii="Arial" w:hAnsi="Arial" w:cs="Arial"/>
          <w:sz w:val="20"/>
          <w:szCs w:val="20"/>
        </w:rPr>
        <w:t>pozaformalnej</w:t>
      </w:r>
      <w:proofErr w:type="spellEnd"/>
      <w:r w:rsidR="008C7F33">
        <w:rPr>
          <w:rFonts w:ascii="Arial" w:hAnsi="Arial" w:cs="Arial"/>
          <w:sz w:val="20"/>
          <w:szCs w:val="20"/>
        </w:rPr>
        <w:t xml:space="preserve">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7143BF0F" w14:textId="77777777" w:rsidR="00F45434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</w:t>
      </w:r>
    </w:p>
    <w:p w14:paraId="24BC83BF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F16FF84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D14F5B" w14:textId="4F05989C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</w:t>
      </w:r>
      <w:r w:rsidRPr="00DB3D7D">
        <w:rPr>
          <w:rFonts w:ascii="Arial" w:hAnsi="Arial" w:cs="Arial"/>
          <w:sz w:val="20"/>
          <w:szCs w:val="20"/>
        </w:rPr>
        <w:lastRenderedPageBreak/>
        <w:t>poziomów 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A9CFDBF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DD9362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96C0D36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421D7477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BF49A6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794729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12C364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DE8D3F" w14:textId="77777777" w:rsidR="00F45434" w:rsidRDefault="00F45434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(zestaw: Realizacja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Zapewnia świadczenia zastępcze w przypadku braku możliwości realizacji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>na etapie 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0C369175" w:rsidR="00C60E30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2198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zm.),</w:t>
      </w:r>
    </w:p>
    <w:p w14:paraId="18754619" w14:textId="5D541428" w:rsidR="0074365A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2183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CC66FD" w:rsidRPr="00CD7052">
        <w:rPr>
          <w:rFonts w:ascii="Arial" w:hAnsi="Arial" w:cs="Arial"/>
          <w:sz w:val="20"/>
          <w:szCs w:val="20"/>
        </w:rPr>
        <w:t>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B184DEF" w:rsidR="00370BDF" w:rsidRPr="00CD7052" w:rsidRDefault="00941BB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</w:t>
      </w:r>
      <w:r w:rsidR="00D5730C" w:rsidRPr="00D5730C">
        <w:rPr>
          <w:rFonts w:ascii="Arial" w:hAnsi="Arial" w:cs="Arial"/>
          <w:sz w:val="20"/>
          <w:szCs w:val="20"/>
        </w:rPr>
        <w:t xml:space="preserve">poz. 622 z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 w:rsidRPr="00D5730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zm</w:t>
      </w:r>
      <w:proofErr w:type="spellEnd"/>
      <w:r w:rsidR="00CC66FD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46A9494B" w:rsidR="002C630F" w:rsidRPr="00CD7052" w:rsidRDefault="00E1250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</w:t>
      </w:r>
      <w:r w:rsidR="00D5730C" w:rsidRPr="00D5730C">
        <w:rPr>
          <w:rFonts w:ascii="Arial" w:hAnsi="Arial" w:cs="Arial"/>
          <w:sz w:val="20"/>
          <w:szCs w:val="20"/>
        </w:rPr>
        <w:t>Dz. U.</w:t>
      </w:r>
      <w:r w:rsidR="00D5730C">
        <w:rPr>
          <w:rFonts w:ascii="Arial" w:hAnsi="Arial" w:cs="Arial"/>
          <w:sz w:val="20"/>
          <w:szCs w:val="20"/>
        </w:rPr>
        <w:t xml:space="preserve"> z 2017</w:t>
      </w:r>
      <w:r w:rsidR="00D5730C" w:rsidRPr="00D5730C">
        <w:rPr>
          <w:rFonts w:ascii="Arial" w:hAnsi="Arial" w:cs="Arial"/>
          <w:sz w:val="20"/>
          <w:szCs w:val="20"/>
        </w:rPr>
        <w:t xml:space="preserve"> poz. 1632</w:t>
      </w:r>
      <w:r w:rsidR="002C630F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>wymogi określone w ustawie o 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1AA28EC7" w14:textId="55F88897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10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>znajduje się również na stronie 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39EC" w14:textId="77777777" w:rsidR="00484FC8" w:rsidRDefault="00484FC8" w:rsidP="000F2AE3">
      <w:pPr>
        <w:spacing w:after="0" w:line="240" w:lineRule="auto"/>
      </w:pPr>
      <w:r>
        <w:separator/>
      </w:r>
    </w:p>
  </w:endnote>
  <w:endnote w:type="continuationSeparator" w:id="0">
    <w:p w14:paraId="01B5888D" w14:textId="77777777" w:rsidR="00484FC8" w:rsidRDefault="00484FC8" w:rsidP="000F2AE3">
      <w:pPr>
        <w:spacing w:after="0" w:line="240" w:lineRule="auto"/>
      </w:pPr>
      <w:r>
        <w:continuationSeparator/>
      </w:r>
    </w:p>
  </w:endnote>
  <w:endnote w:type="continuationNotice" w:id="1">
    <w:p w14:paraId="4F5E01C6" w14:textId="77777777" w:rsidR="00484FC8" w:rsidRDefault="00484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5ACB" w14:textId="77777777" w:rsidR="00484FC8" w:rsidRDefault="00484FC8" w:rsidP="000F2AE3">
      <w:pPr>
        <w:spacing w:after="0" w:line="240" w:lineRule="auto"/>
      </w:pPr>
      <w:r>
        <w:separator/>
      </w:r>
    </w:p>
  </w:footnote>
  <w:footnote w:type="continuationSeparator" w:id="0">
    <w:p w14:paraId="0A672DA3" w14:textId="77777777" w:rsidR="00484FC8" w:rsidRDefault="00484FC8" w:rsidP="000F2AE3">
      <w:pPr>
        <w:spacing w:after="0" w:line="240" w:lineRule="auto"/>
      </w:pPr>
      <w:r>
        <w:continuationSeparator/>
      </w:r>
    </w:p>
  </w:footnote>
  <w:footnote w:type="continuationNotice" w:id="1">
    <w:p w14:paraId="640F9370" w14:textId="77777777" w:rsidR="00484FC8" w:rsidRDefault="00484FC8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B48D4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1215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434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57FF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8E229FCF-15A9-4DC2-8447-DD5DA9B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a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3700B.3A217A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418F-FA19-4980-A664-69A407F1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3388</Words>
  <Characters>20332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23673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Grodzki</dc:creator>
  <cp:lastModifiedBy>Justyna Ostapczuk</cp:lastModifiedBy>
  <cp:revision>2</cp:revision>
  <cp:lastPrinted>2016-11-10T11:44:00Z</cp:lastPrinted>
  <dcterms:created xsi:type="dcterms:W3CDTF">2018-12-06T09:19:00Z</dcterms:created>
  <dcterms:modified xsi:type="dcterms:W3CDTF">2018-12-06T09:19:00Z</dcterms:modified>
</cp:coreProperties>
</file>