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391BB8">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rsidR="00391BB8" w:rsidRDefault="00F67C12">
            <w:pPr>
              <w:spacing w:before="45" w:after="45" w:line="240" w:lineRule="atLeast"/>
              <w:jc w:val="center"/>
              <w:rPr>
                <w:color w:val="000000"/>
                <w:shd w:val="clear" w:color="auto" w:fill="FFFFFF"/>
              </w:rPr>
            </w:pPr>
            <w:r>
              <w:rPr>
                <w:noProof/>
              </w:rPr>
              <w:drawing>
                <wp:inline distT="0" distB="0" distL="0" distR="0">
                  <wp:extent cx="1447800" cy="1447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a:ln>
                            <a:noFill/>
                          </a:ln>
                        </pic:spPr>
                      </pic:pic>
                    </a:graphicData>
                  </a:graphic>
                </wp:inline>
              </w:drawing>
            </w:r>
          </w:p>
        </w:tc>
      </w:tr>
      <w:tr w:rsidR="00391BB8">
        <w:trPr>
          <w:jc w:val="center"/>
        </w:trPr>
        <w:tc>
          <w:tcPr>
            <w:tcW w:w="5000" w:type="pct"/>
            <w:tcBorders>
              <w:top w:val="nil"/>
              <w:left w:val="nil"/>
              <w:bottom w:val="nil"/>
              <w:right w:val="nil"/>
            </w:tcBorders>
            <w:shd w:val="clear" w:color="FFFFFF" w:fill="FFFFFF"/>
            <w:tcMar>
              <w:top w:w="0" w:type="dxa"/>
              <w:left w:w="108" w:type="dxa"/>
              <w:right w:w="108" w:type="dxa"/>
            </w:tcMar>
            <w:vAlign w:val="center"/>
          </w:tcPr>
          <w:p w:rsidR="00391BB8" w:rsidRDefault="00391BB8">
            <w:pPr>
              <w:spacing w:before="45" w:after="45" w:line="240" w:lineRule="atLeast"/>
              <w:jc w:val="center"/>
              <w:rPr>
                <w:i/>
                <w:color w:val="000000"/>
                <w:sz w:val="18"/>
                <w:shd w:val="clear" w:color="auto" w:fill="FFFFFF"/>
              </w:rPr>
            </w:pPr>
          </w:p>
          <w:p w:rsidR="00391BB8" w:rsidRDefault="00A54E9E">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391BB8">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center"/>
          </w:tcPr>
          <w:p w:rsidR="00391BB8" w:rsidRDefault="00391BB8">
            <w:pPr>
              <w:spacing w:before="45" w:after="45" w:line="240" w:lineRule="atLeast"/>
              <w:jc w:val="center"/>
              <w:rPr>
                <w:i/>
                <w:color w:val="000000"/>
                <w:shd w:val="clear" w:color="auto" w:fill="FFFFFF"/>
              </w:rPr>
            </w:pPr>
          </w:p>
        </w:tc>
      </w:tr>
    </w:tbl>
    <w:p w:rsidR="00391BB8" w:rsidRDefault="00391BB8">
      <w:pPr>
        <w:spacing w:before="1984"/>
        <w:ind w:left="283" w:right="283"/>
        <w:jc w:val="center"/>
        <w:rPr>
          <w:b/>
          <w:color w:val="000000"/>
          <w:sz w:val="36"/>
          <w:shd w:val="clear" w:color="auto" w:fill="FFFFFF"/>
        </w:rPr>
      </w:pPr>
    </w:p>
    <w:p w:rsidR="00391BB8" w:rsidRDefault="00A54E9E">
      <w:pPr>
        <w:jc w:val="center"/>
        <w:rPr>
          <w:b/>
          <w:color w:val="000000"/>
          <w:sz w:val="36"/>
          <w:shd w:val="clear" w:color="auto" w:fill="FFFFFF"/>
        </w:rPr>
      </w:pPr>
      <w:r>
        <w:rPr>
          <w:b/>
          <w:color w:val="000000"/>
          <w:sz w:val="36"/>
          <w:shd w:val="clear" w:color="auto" w:fill="FFFFFF"/>
        </w:rPr>
        <w:t>KSIĄŻKA PROCEDUR</w:t>
      </w:r>
    </w:p>
    <w:p w:rsidR="00391BB8" w:rsidRDefault="00A54E9E">
      <w:pPr>
        <w:jc w:val="center"/>
        <w:rPr>
          <w:b/>
          <w:color w:val="000000"/>
          <w:sz w:val="28"/>
          <w:shd w:val="clear" w:color="auto" w:fill="FFFFFF"/>
        </w:rPr>
      </w:pPr>
      <w:r>
        <w:rPr>
          <w:b/>
          <w:color w:val="000000"/>
          <w:sz w:val="28"/>
          <w:shd w:val="clear" w:color="auto" w:fill="FFFFFF"/>
        </w:rPr>
        <w:t>Program Operacyjny Rybactwo i Morze 2014-2020</w:t>
      </w:r>
    </w:p>
    <w:p w:rsidR="00391BB8" w:rsidRDefault="00A54E9E">
      <w:pPr>
        <w:spacing w:before="1020"/>
        <w:jc w:val="center"/>
        <w:rPr>
          <w:b/>
          <w:color w:val="000000"/>
          <w:sz w:val="36"/>
          <w:shd w:val="clear" w:color="auto" w:fill="FFFFFF"/>
        </w:rPr>
      </w:pPr>
      <w:r>
        <w:rPr>
          <w:b/>
          <w:color w:val="000000"/>
          <w:sz w:val="36"/>
          <w:shd w:val="clear" w:color="auto" w:fill="FFFFFF"/>
        </w:rPr>
        <w:t>Rozpatrywanie, stwierdzanie i przekazywanie informacji o nieprawidłowościach</w:t>
      </w:r>
      <w:r w:rsidR="00F67C12">
        <w:rPr>
          <w:b/>
          <w:color w:val="000000"/>
          <w:sz w:val="36"/>
          <w:shd w:val="clear" w:color="auto" w:fill="FFFFFF"/>
        </w:rPr>
        <w:t>/błędach</w:t>
      </w:r>
      <w:r>
        <w:rPr>
          <w:b/>
          <w:color w:val="000000"/>
          <w:sz w:val="36"/>
          <w:shd w:val="clear" w:color="auto" w:fill="FFFFFF"/>
        </w:rPr>
        <w:t xml:space="preserve"> w ramach działań objętych Priorytetem 4 "Zwiększenie zatrudnienia i spójności terytorialnej", zawartego w PO "Rybactwo i Morze" 2014-2020</w:t>
      </w:r>
    </w:p>
    <w:p w:rsidR="00391BB8" w:rsidRDefault="00CD0E68">
      <w:pPr>
        <w:spacing w:before="1020"/>
        <w:jc w:val="center"/>
        <w:rPr>
          <w:b/>
          <w:color w:val="000000"/>
          <w:sz w:val="32"/>
          <w:shd w:val="clear" w:color="auto" w:fill="FFFFFF"/>
        </w:rPr>
      </w:pPr>
      <w:r>
        <w:rPr>
          <w:b/>
          <w:color w:val="000000"/>
          <w:sz w:val="32"/>
          <w:shd w:val="clear" w:color="auto" w:fill="FFFFFF"/>
        </w:rPr>
        <w:t>KP-611-446-ARiMR/2z</w:t>
      </w:r>
    </w:p>
    <w:p w:rsidR="00391BB8" w:rsidRDefault="00A54E9E">
      <w:pPr>
        <w:spacing w:before="1020"/>
        <w:jc w:val="center"/>
        <w:rPr>
          <w:b/>
          <w:color w:val="000000"/>
          <w:sz w:val="32"/>
          <w:shd w:val="clear" w:color="auto" w:fill="FFFFFF"/>
        </w:rPr>
      </w:pPr>
      <w:r>
        <w:rPr>
          <w:b/>
          <w:color w:val="000000"/>
          <w:sz w:val="32"/>
          <w:shd w:val="clear" w:color="auto" w:fill="FFFFFF"/>
        </w:rPr>
        <w:t xml:space="preserve">Wersja </w:t>
      </w:r>
      <w:r w:rsidR="00CD0E68">
        <w:rPr>
          <w:b/>
          <w:color w:val="000000"/>
          <w:sz w:val="32"/>
          <w:shd w:val="clear" w:color="auto" w:fill="FFFFFF"/>
        </w:rPr>
        <w:t>zatwierdzona 2</w:t>
      </w:r>
    </w:p>
    <w:p w:rsidR="00391BB8" w:rsidRDefault="00A54E9E">
      <w:pPr>
        <w:rPr>
          <w:color w:val="000000"/>
          <w:shd w:val="clear" w:color="auto" w:fill="FFFFFF"/>
        </w:rPr>
      </w:pPr>
      <w:r>
        <w:br w:type="page"/>
      </w:r>
      <w:r>
        <w:rPr>
          <w:color w:val="000000"/>
          <w:shd w:val="clear" w:color="auto" w:fill="FFFFFF"/>
        </w:rPr>
        <w:lastRenderedPageBreak/>
        <w:t>Karty obiegowe KP</w:t>
      </w:r>
    </w:p>
    <w:p w:rsidR="00391BB8" w:rsidRDefault="00A54E9E">
      <w:pPr>
        <w:jc w:val="center"/>
        <w:rPr>
          <w:color w:val="000000"/>
          <w:shd w:val="clear" w:color="auto" w:fill="FFFFFF"/>
        </w:rPr>
      </w:pPr>
      <w:r>
        <w:rPr>
          <w:color w:val="000000"/>
          <w:shd w:val="clear" w:color="auto" w:fill="FFFFFF"/>
        </w:rPr>
        <w:t>Zatwierdzenie KP</w:t>
      </w:r>
    </w:p>
    <w:p w:rsidR="00391BB8" w:rsidRDefault="00391BB8">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8"/>
        <w:gridCol w:w="1925"/>
        <w:gridCol w:w="4330"/>
      </w:tblGrid>
      <w:tr w:rsidR="00391BB8">
        <w:trPr>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Opracowali</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Podpis i pieczęć</w:t>
            </w:r>
          </w:p>
        </w:tc>
      </w:tr>
      <w:tr w:rsidR="00391BB8">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FFFFFF"/>
              </w:rPr>
              <w:t>Osoby przygotowujące dokument</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047641">
            <w:pPr>
              <w:spacing w:before="45" w:after="45"/>
              <w:jc w:val="center"/>
              <w:rPr>
                <w:color w:val="000000"/>
                <w:sz w:val="18"/>
                <w:shd w:val="clear" w:color="auto" w:fill="FFFFFF"/>
              </w:rPr>
            </w:pPr>
            <w:r>
              <w:rPr>
                <w:color w:val="000000"/>
                <w:sz w:val="18"/>
                <w:shd w:val="clear" w:color="auto" w:fill="FFFFFF"/>
              </w:rPr>
              <w:t>18.05.2018 r.</w:t>
            </w:r>
          </w:p>
          <w:p w:rsidR="00047641" w:rsidRDefault="00047641">
            <w:pPr>
              <w:spacing w:before="45" w:after="45"/>
              <w:jc w:val="center"/>
              <w:rPr>
                <w:color w:val="000000"/>
                <w:sz w:val="18"/>
                <w:shd w:val="clear" w:color="auto" w:fill="FFFFFF"/>
              </w:rPr>
            </w:pPr>
            <w:r>
              <w:rPr>
                <w:color w:val="000000"/>
                <w:sz w:val="18"/>
                <w:shd w:val="clear" w:color="auto" w:fill="FFFFFF"/>
              </w:rPr>
              <w:t>18.05.2018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574483" w:rsidRDefault="00047641">
            <w:pPr>
              <w:spacing w:before="45" w:after="45"/>
              <w:jc w:val="center"/>
              <w:rPr>
                <w:color w:val="000000"/>
                <w:sz w:val="18"/>
                <w:shd w:val="clear" w:color="auto" w:fill="FFFFFF"/>
              </w:rPr>
            </w:pPr>
            <w:r>
              <w:rPr>
                <w:color w:val="000000"/>
                <w:sz w:val="18"/>
                <w:shd w:val="clear" w:color="auto" w:fill="FFFFFF"/>
              </w:rPr>
              <w:t>Dariusz Ozga</w:t>
            </w:r>
          </w:p>
          <w:p w:rsidR="00047641" w:rsidRDefault="00047641">
            <w:pPr>
              <w:spacing w:before="45" w:after="45"/>
              <w:jc w:val="center"/>
              <w:rPr>
                <w:color w:val="000000"/>
                <w:sz w:val="18"/>
                <w:shd w:val="clear" w:color="auto" w:fill="FFFFFF"/>
              </w:rPr>
            </w:pPr>
          </w:p>
          <w:p w:rsidR="00047641" w:rsidRDefault="00047641">
            <w:pPr>
              <w:spacing w:before="45" w:after="45"/>
              <w:jc w:val="center"/>
              <w:rPr>
                <w:color w:val="000000"/>
                <w:sz w:val="18"/>
                <w:shd w:val="clear" w:color="auto" w:fill="FFFFFF"/>
              </w:rPr>
            </w:pPr>
            <w:r>
              <w:rPr>
                <w:color w:val="000000"/>
                <w:sz w:val="18"/>
                <w:shd w:val="clear" w:color="auto" w:fill="FFFFFF"/>
              </w:rPr>
              <w:t>Bogusław Uściński</w:t>
            </w:r>
          </w:p>
          <w:p w:rsidR="00574483" w:rsidRDefault="00574483">
            <w:pPr>
              <w:spacing w:before="45" w:after="45"/>
              <w:jc w:val="center"/>
              <w:rPr>
                <w:color w:val="000000"/>
                <w:sz w:val="18"/>
                <w:shd w:val="clear" w:color="auto" w:fill="FFFFFF"/>
              </w:rPr>
            </w:pPr>
          </w:p>
        </w:tc>
      </w:tr>
      <w:tr w:rsidR="00391BB8">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FFFFFF"/>
              </w:rPr>
              <w:t xml:space="preserve">Dyrektor Departamentu </w:t>
            </w:r>
          </w:p>
          <w:p w:rsidR="00391BB8" w:rsidRDefault="00A54E9E">
            <w:pPr>
              <w:spacing w:before="45" w:after="45"/>
              <w:jc w:val="center"/>
              <w:rPr>
                <w:color w:val="000000"/>
                <w:sz w:val="18"/>
                <w:shd w:val="clear" w:color="auto" w:fill="FFFFFF"/>
              </w:rPr>
            </w:pPr>
            <w:r>
              <w:rPr>
                <w:color w:val="000000"/>
                <w:sz w:val="18"/>
                <w:shd w:val="clear" w:color="auto" w:fill="FFFFFF"/>
              </w:rPr>
              <w:t>(Właściciel KP)</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047641">
            <w:pPr>
              <w:spacing w:before="45" w:after="45"/>
              <w:jc w:val="center"/>
              <w:rPr>
                <w:color w:val="000000"/>
                <w:sz w:val="18"/>
                <w:shd w:val="clear" w:color="auto" w:fill="FFFFFF"/>
              </w:rPr>
            </w:pPr>
            <w:r>
              <w:rPr>
                <w:color w:val="000000"/>
                <w:sz w:val="18"/>
                <w:shd w:val="clear" w:color="auto" w:fill="FFFFFF"/>
              </w:rPr>
              <w:t>18.05.2018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047641" w:rsidRDefault="00047641">
            <w:pPr>
              <w:spacing w:before="45" w:after="45"/>
              <w:jc w:val="center"/>
              <w:rPr>
                <w:color w:val="000000"/>
                <w:sz w:val="18"/>
                <w:shd w:val="clear" w:color="auto" w:fill="FFFFFF"/>
              </w:rPr>
            </w:pPr>
          </w:p>
          <w:p w:rsidR="00574483" w:rsidRDefault="00047641">
            <w:pPr>
              <w:spacing w:before="45" w:after="45"/>
              <w:jc w:val="center"/>
              <w:rPr>
                <w:color w:val="000000"/>
                <w:sz w:val="18"/>
                <w:shd w:val="clear" w:color="auto" w:fill="FFFFFF"/>
              </w:rPr>
            </w:pPr>
            <w:r>
              <w:rPr>
                <w:color w:val="000000"/>
                <w:sz w:val="18"/>
                <w:shd w:val="clear" w:color="auto" w:fill="FFFFFF"/>
              </w:rPr>
              <w:t>Tomasz Szeweluk</w:t>
            </w:r>
          </w:p>
          <w:p w:rsidR="00574483" w:rsidRDefault="00574483">
            <w:pPr>
              <w:spacing w:before="45" w:after="45"/>
              <w:jc w:val="center"/>
              <w:rPr>
                <w:color w:val="000000"/>
                <w:sz w:val="18"/>
                <w:shd w:val="clear" w:color="auto" w:fill="FFFFFF"/>
              </w:rPr>
            </w:pPr>
          </w:p>
        </w:tc>
      </w:tr>
      <w:tr w:rsidR="00391BB8">
        <w:trPr>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CCCCCC"/>
              </w:rPr>
              <w:t>Zatwierdził</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Podpis i pieczęć</w:t>
            </w:r>
          </w:p>
        </w:tc>
      </w:tr>
      <w:tr w:rsidR="00391BB8">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FFFFFF"/>
              </w:rPr>
              <w:t xml:space="preserve">Prezes ARiMR lub </w:t>
            </w:r>
          </w:p>
          <w:p w:rsidR="00391BB8" w:rsidRDefault="00A54E9E">
            <w:pPr>
              <w:spacing w:before="45" w:after="45"/>
              <w:jc w:val="center"/>
              <w:rPr>
                <w:color w:val="000000"/>
                <w:sz w:val="18"/>
                <w:shd w:val="clear" w:color="auto" w:fill="FFFFFF"/>
              </w:rPr>
            </w:pPr>
            <w:r>
              <w:rPr>
                <w:color w:val="000000"/>
                <w:sz w:val="18"/>
                <w:shd w:val="clear" w:color="auto" w:fill="FFFFFF"/>
              </w:rPr>
              <w:t>Zastępca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047641">
            <w:pPr>
              <w:spacing w:before="45" w:after="45"/>
              <w:jc w:val="center"/>
              <w:rPr>
                <w:color w:val="000000"/>
                <w:sz w:val="18"/>
                <w:shd w:val="clear" w:color="auto" w:fill="FFFFFF"/>
              </w:rPr>
            </w:pPr>
            <w:r>
              <w:rPr>
                <w:color w:val="000000"/>
                <w:sz w:val="18"/>
                <w:shd w:val="clear" w:color="auto" w:fill="FFFFFF"/>
              </w:rPr>
              <w:t>21.05.2018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047641" w:rsidRDefault="00047641" w:rsidP="00574483">
            <w:pPr>
              <w:spacing w:before="45" w:after="45"/>
              <w:jc w:val="center"/>
              <w:rPr>
                <w:color w:val="000000"/>
                <w:sz w:val="18"/>
                <w:shd w:val="clear" w:color="auto" w:fill="FFFFFF"/>
              </w:rPr>
            </w:pPr>
          </w:p>
          <w:p w:rsidR="00574483" w:rsidRDefault="00047641" w:rsidP="00574483">
            <w:pPr>
              <w:spacing w:before="45" w:after="45"/>
              <w:jc w:val="center"/>
              <w:rPr>
                <w:color w:val="000000"/>
                <w:sz w:val="18"/>
                <w:shd w:val="clear" w:color="auto" w:fill="FFFFFF"/>
              </w:rPr>
            </w:pPr>
            <w:r>
              <w:rPr>
                <w:color w:val="000000"/>
                <w:sz w:val="18"/>
                <w:shd w:val="clear" w:color="auto" w:fill="FFFFFF"/>
              </w:rPr>
              <w:t>Tomasz Nowakowski</w:t>
            </w:r>
          </w:p>
          <w:p w:rsidR="00574483" w:rsidRDefault="00574483" w:rsidP="00574483">
            <w:pPr>
              <w:spacing w:before="45" w:after="45"/>
              <w:jc w:val="center"/>
              <w:rPr>
                <w:color w:val="000000"/>
                <w:sz w:val="18"/>
                <w:shd w:val="clear" w:color="auto" w:fill="FFFFFF"/>
              </w:rPr>
            </w:pPr>
          </w:p>
        </w:tc>
      </w:tr>
    </w:tbl>
    <w:p w:rsidR="00391BB8" w:rsidRDefault="00391BB8">
      <w:pPr>
        <w:jc w:val="center"/>
        <w:rPr>
          <w:color w:val="000000"/>
          <w:shd w:val="clear" w:color="auto" w:fill="FFFFFF"/>
        </w:rPr>
      </w:pPr>
    </w:p>
    <w:p w:rsidR="00391BB8" w:rsidRDefault="00A54E9E">
      <w:pPr>
        <w:jc w:val="center"/>
        <w:rPr>
          <w:color w:val="000000"/>
          <w:shd w:val="clear" w:color="auto" w:fill="FFFFFF"/>
        </w:rPr>
      </w:pPr>
      <w:r>
        <w:rPr>
          <w:color w:val="000000"/>
          <w:shd w:val="clear" w:color="auto" w:fill="FFFFFF"/>
        </w:rPr>
        <w:t>Wprowadzenie KP w życie</w:t>
      </w:r>
    </w:p>
    <w:p w:rsidR="00391BB8" w:rsidRDefault="00391BB8">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1924"/>
        <w:gridCol w:w="1925"/>
        <w:gridCol w:w="1925"/>
        <w:gridCol w:w="1925"/>
      </w:tblGrid>
      <w:tr w:rsidR="00391BB8">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Zakres obowiązywania</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Data wprowadzenia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Wprowadzający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Data złożenia podpisu</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Podpis i pieczęć</w:t>
            </w:r>
          </w:p>
        </w:tc>
      </w:tr>
      <w:tr w:rsidR="00391BB8">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FFFFFF"/>
              </w:rPr>
              <w:t>KP obowiązuje w pełnym zakresie</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047641">
            <w:pPr>
              <w:spacing w:before="45" w:after="45"/>
              <w:jc w:val="center"/>
              <w:rPr>
                <w:color w:val="000000"/>
                <w:sz w:val="18"/>
                <w:shd w:val="clear" w:color="auto" w:fill="FFFFFF"/>
              </w:rPr>
            </w:pPr>
            <w:r>
              <w:rPr>
                <w:color w:val="000000"/>
                <w:sz w:val="18"/>
                <w:shd w:val="clear" w:color="auto" w:fill="FFFFFF"/>
              </w:rPr>
              <w:t>26.06.2018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FFFFFF"/>
              </w:rPr>
              <w:t>Z-ca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047641">
            <w:pPr>
              <w:spacing w:before="45" w:after="45"/>
              <w:jc w:val="center"/>
              <w:rPr>
                <w:color w:val="000000"/>
                <w:sz w:val="18"/>
                <w:shd w:val="clear" w:color="auto" w:fill="FFFFFF"/>
              </w:rPr>
            </w:pPr>
            <w:r>
              <w:rPr>
                <w:color w:val="000000"/>
                <w:sz w:val="18"/>
                <w:shd w:val="clear" w:color="auto" w:fill="FFFFFF"/>
              </w:rPr>
              <w:t>21.05.2018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047641" w:rsidRDefault="00047641">
            <w:pPr>
              <w:spacing w:before="45" w:after="45"/>
              <w:jc w:val="center"/>
              <w:rPr>
                <w:color w:val="000000"/>
                <w:sz w:val="18"/>
                <w:shd w:val="clear" w:color="auto" w:fill="FFFFFF"/>
              </w:rPr>
            </w:pPr>
          </w:p>
          <w:p w:rsidR="00574483" w:rsidRDefault="00047641">
            <w:pPr>
              <w:spacing w:before="45" w:after="45"/>
              <w:jc w:val="center"/>
              <w:rPr>
                <w:color w:val="000000"/>
                <w:sz w:val="18"/>
                <w:shd w:val="clear" w:color="auto" w:fill="FFFFFF"/>
              </w:rPr>
            </w:pPr>
            <w:r>
              <w:rPr>
                <w:color w:val="000000"/>
                <w:sz w:val="18"/>
                <w:shd w:val="clear" w:color="auto" w:fill="FFFFFF"/>
              </w:rPr>
              <w:t>Tomasz Nowakowski</w:t>
            </w:r>
          </w:p>
          <w:p w:rsidR="00574483" w:rsidRDefault="00574483" w:rsidP="00574483">
            <w:pPr>
              <w:spacing w:before="45" w:after="45"/>
              <w:rPr>
                <w:color w:val="000000"/>
                <w:sz w:val="18"/>
                <w:shd w:val="clear" w:color="auto" w:fill="FFFFFF"/>
              </w:rPr>
            </w:pPr>
          </w:p>
        </w:tc>
      </w:tr>
    </w:tbl>
    <w:p w:rsidR="00391BB8" w:rsidRDefault="00391BB8">
      <w:pPr>
        <w:jc w:val="center"/>
        <w:rPr>
          <w:color w:val="000000"/>
          <w:shd w:val="clear" w:color="auto" w:fill="FFFFFF"/>
        </w:rPr>
      </w:pPr>
    </w:p>
    <w:p w:rsidR="00391BB8" w:rsidRDefault="00A54E9E">
      <w:pPr>
        <w:rPr>
          <w:color w:val="000000"/>
          <w:shd w:val="clear" w:color="auto" w:fill="FFFFFF"/>
        </w:rPr>
      </w:pPr>
      <w:r>
        <w:rPr>
          <w:color w:val="000000"/>
          <w:shd w:val="clear" w:color="auto" w:fill="FFFFFF"/>
        </w:rPr>
        <w:t>Metryczka zmian:</w:t>
      </w:r>
    </w:p>
    <w:p w:rsidR="00391BB8" w:rsidRDefault="00391BB8">
      <w:pPr>
        <w:jc w:val="center"/>
        <w:rPr>
          <w:color w:val="000000"/>
          <w:shd w:val="clear" w:color="auto" w:fill="FFFFFF"/>
        </w:rPr>
      </w:pP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43"/>
        <w:gridCol w:w="2538"/>
        <w:gridCol w:w="1242"/>
        <w:gridCol w:w="4332"/>
      </w:tblGrid>
      <w:tr w:rsidR="008C6DA0"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spacing w:before="40" w:after="40"/>
              <w:jc w:val="center"/>
              <w:rPr>
                <w:sz w:val="18"/>
              </w:rPr>
            </w:pPr>
            <w:r w:rsidRPr="00E91351">
              <w:rPr>
                <w:sz w:val="18"/>
              </w:rPr>
              <w:t>Lp.</w:t>
            </w:r>
          </w:p>
        </w:tc>
        <w:tc>
          <w:tcPr>
            <w:tcW w:w="1043" w:type="dxa"/>
            <w:tcBorders>
              <w:top w:val="single" w:sz="4" w:space="0" w:color="auto"/>
              <w:left w:val="nil"/>
              <w:bottom w:val="single" w:sz="4" w:space="0" w:color="auto"/>
              <w:right w:val="single" w:sz="4" w:space="0" w:color="auto"/>
            </w:tcBorders>
            <w:vAlign w:val="center"/>
          </w:tcPr>
          <w:p w:rsidR="008C6DA0" w:rsidRPr="00E91351" w:rsidRDefault="008C6DA0" w:rsidP="00A54E9E">
            <w:pPr>
              <w:spacing w:before="40" w:after="40"/>
              <w:jc w:val="center"/>
              <w:rPr>
                <w:sz w:val="18"/>
              </w:rPr>
            </w:pPr>
            <w:r w:rsidRPr="00E91351">
              <w:rPr>
                <w:sz w:val="18"/>
              </w:rPr>
              <w:t>Data</w:t>
            </w:r>
          </w:p>
        </w:tc>
        <w:tc>
          <w:tcPr>
            <w:tcW w:w="2538"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spacing w:before="40" w:after="40"/>
              <w:jc w:val="center"/>
              <w:rPr>
                <w:sz w:val="18"/>
              </w:rPr>
            </w:pPr>
            <w:r w:rsidRPr="00E91351">
              <w:rPr>
                <w:sz w:val="18"/>
              </w:rPr>
              <w:t>Imię i nazwisko</w:t>
            </w:r>
          </w:p>
        </w:tc>
        <w:tc>
          <w:tcPr>
            <w:tcW w:w="1242"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spacing w:before="40" w:after="40"/>
              <w:jc w:val="center"/>
              <w:rPr>
                <w:sz w:val="18"/>
              </w:rPr>
            </w:pPr>
            <w:r w:rsidRPr="00E91351">
              <w:rPr>
                <w:sz w:val="18"/>
              </w:rPr>
              <w:t>Wersja</w:t>
            </w:r>
          </w:p>
        </w:tc>
        <w:tc>
          <w:tcPr>
            <w:tcW w:w="4332"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spacing w:before="40" w:after="40"/>
              <w:jc w:val="center"/>
              <w:rPr>
                <w:sz w:val="18"/>
              </w:rPr>
            </w:pPr>
            <w:r w:rsidRPr="00E91351">
              <w:rPr>
                <w:sz w:val="18"/>
              </w:rPr>
              <w:t>Opis zmian do poprzedniej wersji</w:t>
            </w:r>
          </w:p>
        </w:tc>
      </w:tr>
      <w:tr w:rsidR="008C6DA0"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1.</w:t>
            </w:r>
          </w:p>
        </w:tc>
        <w:tc>
          <w:tcPr>
            <w:tcW w:w="1043"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 xml:space="preserve">03.03.2017 </w:t>
            </w:r>
          </w:p>
        </w:tc>
        <w:tc>
          <w:tcPr>
            <w:tcW w:w="2538"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jc w:val="center"/>
              <w:rPr>
                <w:sz w:val="20"/>
                <w:lang w:val="it-IT"/>
              </w:rPr>
            </w:pPr>
            <w:r w:rsidRPr="00E91351">
              <w:rPr>
                <w:sz w:val="20"/>
                <w:lang w:val="it-IT"/>
              </w:rPr>
              <w:t>Anna Krajewska</w:t>
            </w:r>
          </w:p>
        </w:tc>
        <w:tc>
          <w:tcPr>
            <w:tcW w:w="124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1.1r</w:t>
            </w:r>
          </w:p>
        </w:tc>
        <w:tc>
          <w:tcPr>
            <w:tcW w:w="433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p>
        </w:tc>
      </w:tr>
      <w:tr w:rsidR="008C6DA0"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2.</w:t>
            </w:r>
          </w:p>
        </w:tc>
        <w:tc>
          <w:tcPr>
            <w:tcW w:w="1043"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27.03.2017</w:t>
            </w:r>
          </w:p>
        </w:tc>
        <w:tc>
          <w:tcPr>
            <w:tcW w:w="2538"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jc w:val="center"/>
              <w:rPr>
                <w:sz w:val="20"/>
                <w:lang w:val="it-IT"/>
              </w:rPr>
            </w:pPr>
            <w:r w:rsidRPr="00E91351">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1.2r</w:t>
            </w:r>
          </w:p>
        </w:tc>
        <w:tc>
          <w:tcPr>
            <w:tcW w:w="433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 xml:space="preserve">            Utworzenie drugiej wersji roboczej</w:t>
            </w:r>
          </w:p>
        </w:tc>
      </w:tr>
      <w:tr w:rsidR="008C6DA0"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 xml:space="preserve">3. </w:t>
            </w:r>
          </w:p>
        </w:tc>
        <w:tc>
          <w:tcPr>
            <w:tcW w:w="1043"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03.04.2017</w:t>
            </w:r>
          </w:p>
        </w:tc>
        <w:tc>
          <w:tcPr>
            <w:tcW w:w="2538"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jc w:val="center"/>
              <w:rPr>
                <w:sz w:val="20"/>
                <w:lang w:val="it-IT"/>
              </w:rPr>
            </w:pPr>
            <w:r w:rsidRPr="00E91351">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1z</w:t>
            </w:r>
          </w:p>
        </w:tc>
        <w:tc>
          <w:tcPr>
            <w:tcW w:w="433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 xml:space="preserve">            Utworzenie wersji zatwierdzonej</w:t>
            </w:r>
          </w:p>
        </w:tc>
      </w:tr>
      <w:tr w:rsidR="008C6DA0"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4.</w:t>
            </w:r>
          </w:p>
        </w:tc>
        <w:tc>
          <w:tcPr>
            <w:tcW w:w="1043"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12.02.2018</w:t>
            </w:r>
          </w:p>
        </w:tc>
        <w:tc>
          <w:tcPr>
            <w:tcW w:w="2538"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jc w:val="center"/>
              <w:rPr>
                <w:sz w:val="20"/>
                <w:lang w:val="it-IT"/>
              </w:rPr>
            </w:pPr>
            <w:r w:rsidRPr="00E91351">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2.1r</w:t>
            </w:r>
          </w:p>
        </w:tc>
        <w:tc>
          <w:tcPr>
            <w:tcW w:w="433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 xml:space="preserve">            Utworzenie pierwszej wersji roboczej</w:t>
            </w:r>
          </w:p>
        </w:tc>
      </w:tr>
      <w:tr w:rsidR="008C6DA0"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5</w:t>
            </w:r>
          </w:p>
        </w:tc>
        <w:tc>
          <w:tcPr>
            <w:tcW w:w="1043"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28.03.2018</w:t>
            </w:r>
          </w:p>
        </w:tc>
        <w:tc>
          <w:tcPr>
            <w:tcW w:w="2538" w:type="dxa"/>
            <w:tcBorders>
              <w:top w:val="single" w:sz="4" w:space="0" w:color="auto"/>
              <w:left w:val="single" w:sz="4" w:space="0" w:color="auto"/>
              <w:bottom w:val="single" w:sz="4" w:space="0" w:color="auto"/>
              <w:right w:val="single" w:sz="4" w:space="0" w:color="auto"/>
            </w:tcBorders>
            <w:vAlign w:val="center"/>
          </w:tcPr>
          <w:p w:rsidR="008C6DA0" w:rsidRPr="00E91351" w:rsidRDefault="008C6DA0" w:rsidP="00A54E9E">
            <w:pPr>
              <w:jc w:val="center"/>
              <w:rPr>
                <w:sz w:val="20"/>
                <w:lang w:val="it-IT"/>
              </w:rPr>
            </w:pPr>
            <w:r w:rsidRPr="00E91351">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center"/>
              <w:rPr>
                <w:sz w:val="20"/>
              </w:rPr>
            </w:pPr>
            <w:r w:rsidRPr="00E91351">
              <w:rPr>
                <w:sz w:val="20"/>
              </w:rPr>
              <w:t>2.2r</w:t>
            </w:r>
          </w:p>
        </w:tc>
        <w:tc>
          <w:tcPr>
            <w:tcW w:w="4332" w:type="dxa"/>
            <w:tcBorders>
              <w:top w:val="single" w:sz="4" w:space="0" w:color="auto"/>
              <w:left w:val="single" w:sz="4" w:space="0" w:color="auto"/>
              <w:bottom w:val="single" w:sz="4" w:space="0" w:color="auto"/>
              <w:right w:val="single" w:sz="4" w:space="0" w:color="auto"/>
            </w:tcBorders>
          </w:tcPr>
          <w:p w:rsidR="008C6DA0" w:rsidRPr="00E91351" w:rsidRDefault="008C6DA0" w:rsidP="00A54E9E">
            <w:pPr>
              <w:spacing w:before="40" w:after="40"/>
              <w:jc w:val="both"/>
              <w:rPr>
                <w:sz w:val="20"/>
              </w:rPr>
            </w:pPr>
            <w:r w:rsidRPr="00E91351">
              <w:rPr>
                <w:sz w:val="20"/>
              </w:rPr>
              <w:t xml:space="preserve">            Utworzenie drugiej wersji roboczej</w:t>
            </w:r>
          </w:p>
        </w:tc>
      </w:tr>
      <w:tr w:rsidR="00C6135F"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center"/>
              <w:rPr>
                <w:sz w:val="20"/>
              </w:rPr>
            </w:pPr>
            <w:r>
              <w:rPr>
                <w:sz w:val="20"/>
              </w:rPr>
              <w:t>6</w:t>
            </w:r>
          </w:p>
        </w:tc>
        <w:tc>
          <w:tcPr>
            <w:tcW w:w="1043"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both"/>
              <w:rPr>
                <w:sz w:val="20"/>
              </w:rPr>
            </w:pPr>
            <w:r>
              <w:rPr>
                <w:sz w:val="20"/>
              </w:rPr>
              <w:t>15.04.2018</w:t>
            </w:r>
          </w:p>
        </w:tc>
        <w:tc>
          <w:tcPr>
            <w:tcW w:w="2538" w:type="dxa"/>
            <w:tcBorders>
              <w:top w:val="single" w:sz="4" w:space="0" w:color="auto"/>
              <w:left w:val="single" w:sz="4" w:space="0" w:color="auto"/>
              <w:bottom w:val="single" w:sz="4" w:space="0" w:color="auto"/>
              <w:right w:val="single" w:sz="4" w:space="0" w:color="auto"/>
            </w:tcBorders>
            <w:vAlign w:val="center"/>
          </w:tcPr>
          <w:p w:rsidR="00C6135F" w:rsidRPr="00E91351" w:rsidRDefault="00C6135F" w:rsidP="00C6135F">
            <w:pPr>
              <w:jc w:val="center"/>
              <w:rPr>
                <w:sz w:val="20"/>
                <w:lang w:val="it-IT"/>
              </w:rPr>
            </w:pPr>
            <w:r w:rsidRPr="00E91351">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center"/>
              <w:rPr>
                <w:sz w:val="20"/>
              </w:rPr>
            </w:pPr>
            <w:r>
              <w:rPr>
                <w:sz w:val="20"/>
              </w:rPr>
              <w:t>2.3</w:t>
            </w:r>
            <w:r w:rsidRPr="00E91351">
              <w:rPr>
                <w:sz w:val="20"/>
              </w:rPr>
              <w:t>r</w:t>
            </w:r>
          </w:p>
        </w:tc>
        <w:tc>
          <w:tcPr>
            <w:tcW w:w="4332"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both"/>
              <w:rPr>
                <w:sz w:val="20"/>
              </w:rPr>
            </w:pPr>
            <w:r>
              <w:rPr>
                <w:sz w:val="20"/>
              </w:rPr>
              <w:t xml:space="preserve">            Utworzenie trzeci</w:t>
            </w:r>
            <w:r w:rsidRPr="00E91351">
              <w:rPr>
                <w:sz w:val="20"/>
              </w:rPr>
              <w:t>ej wersji roboczej</w:t>
            </w:r>
          </w:p>
        </w:tc>
      </w:tr>
      <w:tr w:rsidR="00C6135F" w:rsidRPr="00E91351" w:rsidTr="00A54E9E">
        <w:trPr>
          <w:jc w:val="center"/>
        </w:trPr>
        <w:tc>
          <w:tcPr>
            <w:tcW w:w="467"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center"/>
              <w:rPr>
                <w:sz w:val="20"/>
              </w:rPr>
            </w:pPr>
            <w:r>
              <w:rPr>
                <w:sz w:val="20"/>
              </w:rPr>
              <w:t>7</w:t>
            </w:r>
          </w:p>
        </w:tc>
        <w:tc>
          <w:tcPr>
            <w:tcW w:w="1043"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both"/>
              <w:rPr>
                <w:sz w:val="20"/>
              </w:rPr>
            </w:pPr>
            <w:r>
              <w:rPr>
                <w:sz w:val="20"/>
              </w:rPr>
              <w:t>18.05.2018</w:t>
            </w:r>
          </w:p>
        </w:tc>
        <w:tc>
          <w:tcPr>
            <w:tcW w:w="2538" w:type="dxa"/>
            <w:tcBorders>
              <w:top w:val="single" w:sz="4" w:space="0" w:color="auto"/>
              <w:left w:val="single" w:sz="4" w:space="0" w:color="auto"/>
              <w:bottom w:val="single" w:sz="4" w:space="0" w:color="auto"/>
              <w:right w:val="single" w:sz="4" w:space="0" w:color="auto"/>
            </w:tcBorders>
            <w:vAlign w:val="center"/>
          </w:tcPr>
          <w:p w:rsidR="00C6135F" w:rsidRPr="00E91351" w:rsidRDefault="00C6135F" w:rsidP="00C6135F">
            <w:pPr>
              <w:jc w:val="center"/>
              <w:rPr>
                <w:sz w:val="20"/>
                <w:lang w:val="it-IT"/>
              </w:rPr>
            </w:pPr>
            <w:r w:rsidRPr="00E91351">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center"/>
              <w:rPr>
                <w:sz w:val="20"/>
              </w:rPr>
            </w:pPr>
            <w:r>
              <w:rPr>
                <w:sz w:val="20"/>
              </w:rPr>
              <w:t>2z</w:t>
            </w:r>
          </w:p>
        </w:tc>
        <w:tc>
          <w:tcPr>
            <w:tcW w:w="4332" w:type="dxa"/>
            <w:tcBorders>
              <w:top w:val="single" w:sz="4" w:space="0" w:color="auto"/>
              <w:left w:val="single" w:sz="4" w:space="0" w:color="auto"/>
              <w:bottom w:val="single" w:sz="4" w:space="0" w:color="auto"/>
              <w:right w:val="single" w:sz="4" w:space="0" w:color="auto"/>
            </w:tcBorders>
          </w:tcPr>
          <w:p w:rsidR="00C6135F" w:rsidRPr="00E91351" w:rsidRDefault="00C6135F" w:rsidP="00C6135F">
            <w:pPr>
              <w:spacing w:before="40" w:after="40"/>
              <w:jc w:val="both"/>
              <w:rPr>
                <w:sz w:val="20"/>
              </w:rPr>
            </w:pPr>
            <w:r w:rsidRPr="00E91351">
              <w:rPr>
                <w:sz w:val="20"/>
              </w:rPr>
              <w:t xml:space="preserve">            Utworzenie </w:t>
            </w:r>
            <w:r>
              <w:rPr>
                <w:sz w:val="20"/>
              </w:rPr>
              <w:t>wersji zatwierdzonej</w:t>
            </w:r>
          </w:p>
        </w:tc>
      </w:tr>
    </w:tbl>
    <w:p w:rsidR="008C6DA0" w:rsidRDefault="008C6DA0">
      <w:pPr>
        <w:jc w:val="center"/>
        <w:rPr>
          <w:color w:val="000000"/>
          <w:shd w:val="clear" w:color="auto" w:fill="FFFFFF"/>
        </w:rPr>
      </w:pPr>
    </w:p>
    <w:p w:rsidR="00391BB8" w:rsidRDefault="00391BB8">
      <w:pPr>
        <w:jc w:val="center"/>
        <w:sectPr w:rsidR="00391BB8">
          <w:pgSz w:w="11906" w:h="16838"/>
          <w:pgMar w:top="1134" w:right="850" w:bottom="1134" w:left="1417" w:header="454" w:footer="454" w:gutter="0"/>
          <w:cols w:space="720"/>
        </w:sectPr>
      </w:pPr>
    </w:p>
    <w:p w:rsidR="00391BB8" w:rsidRDefault="00A54E9E">
      <w:pPr>
        <w:rPr>
          <w:color w:val="000000"/>
          <w:sz w:val="28"/>
          <w:shd w:val="clear" w:color="auto" w:fill="FFFFFF"/>
        </w:rPr>
      </w:pPr>
      <w:r>
        <w:rPr>
          <w:color w:val="000000"/>
          <w:sz w:val="28"/>
          <w:shd w:val="clear" w:color="auto" w:fill="FFFFFF"/>
        </w:rPr>
        <w:lastRenderedPageBreak/>
        <w:t>Spis treści</w:t>
      </w:r>
    </w:p>
    <w:p w:rsidR="00391BB8" w:rsidRDefault="00391BB8">
      <w:pPr>
        <w:rPr>
          <w:b/>
          <w:color w:val="000000"/>
          <w:sz w:val="22"/>
          <w:shd w:val="clear" w:color="auto" w:fill="FFFFFF"/>
        </w:rPr>
      </w:pPr>
    </w:p>
    <w:p w:rsidR="007B3D08" w:rsidRDefault="00A54E9E">
      <w:pPr>
        <w:pStyle w:val="Spistreci1"/>
        <w:tabs>
          <w:tab w:val="right" w:leader="dot" w:pos="9629"/>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512251945" w:history="1">
        <w:r w:rsidR="007B3D08" w:rsidRPr="00E459DB">
          <w:rPr>
            <w:rStyle w:val="Hipercze"/>
            <w:noProof/>
          </w:rPr>
          <w:t>1. Procedury</w:t>
        </w:r>
        <w:r w:rsidR="007B3D08">
          <w:rPr>
            <w:noProof/>
            <w:webHidden/>
          </w:rPr>
          <w:tab/>
        </w:r>
        <w:r w:rsidR="007B3D08">
          <w:rPr>
            <w:noProof/>
            <w:webHidden/>
          </w:rPr>
          <w:fldChar w:fldCharType="begin"/>
        </w:r>
        <w:r w:rsidR="007B3D08">
          <w:rPr>
            <w:noProof/>
            <w:webHidden/>
          </w:rPr>
          <w:instrText xml:space="preserve"> PAGEREF _Toc512251945 \h </w:instrText>
        </w:r>
        <w:r w:rsidR="007B3D08">
          <w:rPr>
            <w:noProof/>
            <w:webHidden/>
          </w:rPr>
        </w:r>
        <w:r w:rsidR="007B3D08">
          <w:rPr>
            <w:noProof/>
            <w:webHidden/>
          </w:rPr>
          <w:fldChar w:fldCharType="separate"/>
        </w:r>
        <w:r w:rsidR="007B3D08">
          <w:rPr>
            <w:noProof/>
            <w:webHidden/>
          </w:rPr>
          <w:t>4</w:t>
        </w:r>
        <w:r w:rsidR="007B3D08">
          <w:rPr>
            <w:noProof/>
            <w:webHidden/>
          </w:rPr>
          <w:fldChar w:fldCharType="end"/>
        </w:r>
      </w:hyperlink>
    </w:p>
    <w:p w:rsidR="007B3D08" w:rsidRDefault="00144B6F">
      <w:pPr>
        <w:pStyle w:val="Spistreci2"/>
        <w:tabs>
          <w:tab w:val="right" w:leader="dot" w:pos="9629"/>
        </w:tabs>
        <w:rPr>
          <w:rFonts w:asciiTheme="minorHAnsi" w:eastAsiaTheme="minorEastAsia" w:hAnsiTheme="minorHAnsi" w:cstheme="minorBidi"/>
          <w:noProof/>
          <w:color w:val="auto"/>
          <w:sz w:val="22"/>
          <w:szCs w:val="22"/>
          <w:shd w:val="clear" w:color="auto" w:fill="auto"/>
        </w:rPr>
      </w:pPr>
      <w:hyperlink w:anchor="_Toc512251946" w:history="1">
        <w:r w:rsidR="007B3D08" w:rsidRPr="00E459DB">
          <w:rPr>
            <w:rStyle w:val="Hipercze"/>
            <w:noProof/>
          </w:rPr>
          <w:t>1.1. Procedura rozpatrywania, stwierdzania i przekazywania informacji o nieprawidłowościach</w:t>
        </w:r>
        <w:r w:rsidR="007B3D08">
          <w:rPr>
            <w:noProof/>
            <w:webHidden/>
          </w:rPr>
          <w:tab/>
        </w:r>
        <w:r w:rsidR="007B3D08">
          <w:rPr>
            <w:noProof/>
            <w:webHidden/>
          </w:rPr>
          <w:fldChar w:fldCharType="begin"/>
        </w:r>
        <w:r w:rsidR="007B3D08">
          <w:rPr>
            <w:noProof/>
            <w:webHidden/>
          </w:rPr>
          <w:instrText xml:space="preserve"> PAGEREF _Toc512251946 \h </w:instrText>
        </w:r>
        <w:r w:rsidR="007B3D08">
          <w:rPr>
            <w:noProof/>
            <w:webHidden/>
          </w:rPr>
        </w:r>
        <w:r w:rsidR="007B3D08">
          <w:rPr>
            <w:noProof/>
            <w:webHidden/>
          </w:rPr>
          <w:fldChar w:fldCharType="separate"/>
        </w:r>
        <w:r w:rsidR="007B3D08">
          <w:rPr>
            <w:noProof/>
            <w:webHidden/>
          </w:rPr>
          <w:t>4</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47" w:history="1">
        <w:r w:rsidR="007B3D08" w:rsidRPr="00E459DB">
          <w:rPr>
            <w:rStyle w:val="Hipercze"/>
            <w:noProof/>
          </w:rPr>
          <w:t>1.1.1. Przedmiot procedury</w:t>
        </w:r>
        <w:r w:rsidR="007B3D08">
          <w:rPr>
            <w:noProof/>
            <w:webHidden/>
          </w:rPr>
          <w:tab/>
        </w:r>
        <w:r w:rsidR="007B3D08">
          <w:rPr>
            <w:noProof/>
            <w:webHidden/>
          </w:rPr>
          <w:fldChar w:fldCharType="begin"/>
        </w:r>
        <w:r w:rsidR="007B3D08">
          <w:rPr>
            <w:noProof/>
            <w:webHidden/>
          </w:rPr>
          <w:instrText xml:space="preserve"> PAGEREF _Toc512251947 \h </w:instrText>
        </w:r>
        <w:r w:rsidR="007B3D08">
          <w:rPr>
            <w:noProof/>
            <w:webHidden/>
          </w:rPr>
        </w:r>
        <w:r w:rsidR="007B3D08">
          <w:rPr>
            <w:noProof/>
            <w:webHidden/>
          </w:rPr>
          <w:fldChar w:fldCharType="separate"/>
        </w:r>
        <w:r w:rsidR="007B3D08">
          <w:rPr>
            <w:noProof/>
            <w:webHidden/>
          </w:rPr>
          <w:t>4</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48" w:history="1">
        <w:r w:rsidR="007B3D08" w:rsidRPr="00E459DB">
          <w:rPr>
            <w:rStyle w:val="Hipercze"/>
            <w:noProof/>
          </w:rPr>
          <w:t>1.1.2. Obszar procedury</w:t>
        </w:r>
        <w:r w:rsidR="007B3D08">
          <w:rPr>
            <w:noProof/>
            <w:webHidden/>
          </w:rPr>
          <w:tab/>
        </w:r>
        <w:r w:rsidR="007B3D08">
          <w:rPr>
            <w:noProof/>
            <w:webHidden/>
          </w:rPr>
          <w:fldChar w:fldCharType="begin"/>
        </w:r>
        <w:r w:rsidR="007B3D08">
          <w:rPr>
            <w:noProof/>
            <w:webHidden/>
          </w:rPr>
          <w:instrText xml:space="preserve"> PAGEREF _Toc512251948 \h </w:instrText>
        </w:r>
        <w:r w:rsidR="007B3D08">
          <w:rPr>
            <w:noProof/>
            <w:webHidden/>
          </w:rPr>
        </w:r>
        <w:r w:rsidR="007B3D08">
          <w:rPr>
            <w:noProof/>
            <w:webHidden/>
          </w:rPr>
          <w:fldChar w:fldCharType="separate"/>
        </w:r>
        <w:r w:rsidR="007B3D08">
          <w:rPr>
            <w:noProof/>
            <w:webHidden/>
          </w:rPr>
          <w:t>4</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49" w:history="1">
        <w:r w:rsidR="007B3D08" w:rsidRPr="00E459DB">
          <w:rPr>
            <w:rStyle w:val="Hipercze"/>
            <w:noProof/>
          </w:rPr>
          <w:t>1.1.3. Funkcja procedury</w:t>
        </w:r>
        <w:r w:rsidR="007B3D08">
          <w:rPr>
            <w:noProof/>
            <w:webHidden/>
          </w:rPr>
          <w:tab/>
        </w:r>
        <w:r w:rsidR="007B3D08">
          <w:rPr>
            <w:noProof/>
            <w:webHidden/>
          </w:rPr>
          <w:fldChar w:fldCharType="begin"/>
        </w:r>
        <w:r w:rsidR="007B3D08">
          <w:rPr>
            <w:noProof/>
            <w:webHidden/>
          </w:rPr>
          <w:instrText xml:space="preserve"> PAGEREF _Toc512251949 \h </w:instrText>
        </w:r>
        <w:r w:rsidR="007B3D08">
          <w:rPr>
            <w:noProof/>
            <w:webHidden/>
          </w:rPr>
        </w:r>
        <w:r w:rsidR="007B3D08">
          <w:rPr>
            <w:noProof/>
            <w:webHidden/>
          </w:rPr>
          <w:fldChar w:fldCharType="separate"/>
        </w:r>
        <w:r w:rsidR="007B3D08">
          <w:rPr>
            <w:noProof/>
            <w:webHidden/>
          </w:rPr>
          <w:t>4</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0" w:history="1">
        <w:r w:rsidR="007B3D08" w:rsidRPr="00E459DB">
          <w:rPr>
            <w:rStyle w:val="Hipercze"/>
            <w:noProof/>
          </w:rPr>
          <w:t>1.1.4. Przebieg procesu</w:t>
        </w:r>
        <w:r w:rsidR="007B3D08">
          <w:rPr>
            <w:noProof/>
            <w:webHidden/>
          </w:rPr>
          <w:tab/>
        </w:r>
        <w:r w:rsidR="007B3D08">
          <w:rPr>
            <w:noProof/>
            <w:webHidden/>
          </w:rPr>
          <w:fldChar w:fldCharType="begin"/>
        </w:r>
        <w:r w:rsidR="007B3D08">
          <w:rPr>
            <w:noProof/>
            <w:webHidden/>
          </w:rPr>
          <w:instrText xml:space="preserve"> PAGEREF _Toc512251950 \h </w:instrText>
        </w:r>
        <w:r w:rsidR="007B3D08">
          <w:rPr>
            <w:noProof/>
            <w:webHidden/>
          </w:rPr>
        </w:r>
        <w:r w:rsidR="007B3D08">
          <w:rPr>
            <w:noProof/>
            <w:webHidden/>
          </w:rPr>
          <w:fldChar w:fldCharType="separate"/>
        </w:r>
        <w:r w:rsidR="007B3D08">
          <w:rPr>
            <w:noProof/>
            <w:webHidden/>
          </w:rPr>
          <w:t>4</w:t>
        </w:r>
        <w:r w:rsidR="007B3D08">
          <w:rPr>
            <w:noProof/>
            <w:webHidden/>
          </w:rPr>
          <w:fldChar w:fldCharType="end"/>
        </w:r>
      </w:hyperlink>
    </w:p>
    <w:p w:rsidR="007B3D08" w:rsidRDefault="00144B6F">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512251951" w:history="1">
        <w:r w:rsidR="007B3D08" w:rsidRPr="00E459DB">
          <w:rPr>
            <w:rStyle w:val="Hipercze"/>
            <w:noProof/>
          </w:rPr>
          <w:t>1.1.4.1. Rozpatrywanie, stwierdzanie i przekazywanie informacji o nieprawidłowościach</w:t>
        </w:r>
        <w:r w:rsidR="007B3D08">
          <w:rPr>
            <w:noProof/>
            <w:webHidden/>
          </w:rPr>
          <w:tab/>
        </w:r>
        <w:r w:rsidR="007B3D08">
          <w:rPr>
            <w:noProof/>
            <w:webHidden/>
          </w:rPr>
          <w:fldChar w:fldCharType="begin"/>
        </w:r>
        <w:r w:rsidR="007B3D08">
          <w:rPr>
            <w:noProof/>
            <w:webHidden/>
          </w:rPr>
          <w:instrText xml:space="preserve"> PAGEREF _Toc512251951 \h </w:instrText>
        </w:r>
        <w:r w:rsidR="007B3D08">
          <w:rPr>
            <w:noProof/>
            <w:webHidden/>
          </w:rPr>
        </w:r>
        <w:r w:rsidR="007B3D08">
          <w:rPr>
            <w:noProof/>
            <w:webHidden/>
          </w:rPr>
          <w:fldChar w:fldCharType="separate"/>
        </w:r>
        <w:r w:rsidR="007B3D08">
          <w:rPr>
            <w:noProof/>
            <w:webHidden/>
          </w:rPr>
          <w:t>5</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2" w:history="1">
        <w:r w:rsidR="007B3D08" w:rsidRPr="00E459DB">
          <w:rPr>
            <w:rStyle w:val="Hipercze"/>
            <w:noProof/>
          </w:rPr>
          <w:t>1.1.5. Reguły związane z przebiegiem procesu</w:t>
        </w:r>
        <w:r w:rsidR="007B3D08">
          <w:rPr>
            <w:noProof/>
            <w:webHidden/>
          </w:rPr>
          <w:tab/>
        </w:r>
        <w:r w:rsidR="007B3D08">
          <w:rPr>
            <w:noProof/>
            <w:webHidden/>
          </w:rPr>
          <w:fldChar w:fldCharType="begin"/>
        </w:r>
        <w:r w:rsidR="007B3D08">
          <w:rPr>
            <w:noProof/>
            <w:webHidden/>
          </w:rPr>
          <w:instrText xml:space="preserve"> PAGEREF _Toc512251952 \h </w:instrText>
        </w:r>
        <w:r w:rsidR="007B3D08">
          <w:rPr>
            <w:noProof/>
            <w:webHidden/>
          </w:rPr>
        </w:r>
        <w:r w:rsidR="007B3D08">
          <w:rPr>
            <w:noProof/>
            <w:webHidden/>
          </w:rPr>
          <w:fldChar w:fldCharType="separate"/>
        </w:r>
        <w:r w:rsidR="007B3D08">
          <w:rPr>
            <w:noProof/>
            <w:webHidden/>
          </w:rPr>
          <w:t>6</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3" w:history="1">
        <w:r w:rsidR="007B3D08" w:rsidRPr="00E459DB">
          <w:rPr>
            <w:rStyle w:val="Hipercze"/>
            <w:noProof/>
          </w:rPr>
          <w:t>1.1.6. Załączniki</w:t>
        </w:r>
        <w:r w:rsidR="007B3D08">
          <w:rPr>
            <w:noProof/>
            <w:webHidden/>
          </w:rPr>
          <w:tab/>
        </w:r>
        <w:r w:rsidR="007B3D08">
          <w:rPr>
            <w:noProof/>
            <w:webHidden/>
          </w:rPr>
          <w:fldChar w:fldCharType="begin"/>
        </w:r>
        <w:r w:rsidR="007B3D08">
          <w:rPr>
            <w:noProof/>
            <w:webHidden/>
          </w:rPr>
          <w:instrText xml:space="preserve"> PAGEREF _Toc512251953 \h </w:instrText>
        </w:r>
        <w:r w:rsidR="007B3D08">
          <w:rPr>
            <w:noProof/>
            <w:webHidden/>
          </w:rPr>
        </w:r>
        <w:r w:rsidR="007B3D08">
          <w:rPr>
            <w:noProof/>
            <w:webHidden/>
          </w:rPr>
          <w:fldChar w:fldCharType="separate"/>
        </w:r>
        <w:r w:rsidR="007B3D08">
          <w:rPr>
            <w:noProof/>
            <w:webHidden/>
          </w:rPr>
          <w:t>17</w:t>
        </w:r>
        <w:r w:rsidR="007B3D08">
          <w:rPr>
            <w:noProof/>
            <w:webHidden/>
          </w:rPr>
          <w:fldChar w:fldCharType="end"/>
        </w:r>
      </w:hyperlink>
    </w:p>
    <w:p w:rsidR="007B3D08" w:rsidRDefault="00144B6F">
      <w:pPr>
        <w:pStyle w:val="Spistreci2"/>
        <w:tabs>
          <w:tab w:val="right" w:leader="dot" w:pos="9629"/>
        </w:tabs>
        <w:rPr>
          <w:rFonts w:asciiTheme="minorHAnsi" w:eastAsiaTheme="minorEastAsia" w:hAnsiTheme="minorHAnsi" w:cstheme="minorBidi"/>
          <w:noProof/>
          <w:color w:val="auto"/>
          <w:sz w:val="22"/>
          <w:szCs w:val="22"/>
          <w:shd w:val="clear" w:color="auto" w:fill="auto"/>
        </w:rPr>
      </w:pPr>
      <w:hyperlink w:anchor="_Toc512251954" w:history="1">
        <w:r w:rsidR="007B3D08" w:rsidRPr="00E459DB">
          <w:rPr>
            <w:rStyle w:val="Hipercze"/>
            <w:noProof/>
          </w:rPr>
          <w:t>1.2. Przekazywanie informacji o błędach administracyjnych/systemowych</w:t>
        </w:r>
        <w:r w:rsidR="007B3D08">
          <w:rPr>
            <w:noProof/>
            <w:webHidden/>
          </w:rPr>
          <w:tab/>
        </w:r>
        <w:r w:rsidR="007B3D08">
          <w:rPr>
            <w:noProof/>
            <w:webHidden/>
          </w:rPr>
          <w:fldChar w:fldCharType="begin"/>
        </w:r>
        <w:r w:rsidR="007B3D08">
          <w:rPr>
            <w:noProof/>
            <w:webHidden/>
          </w:rPr>
          <w:instrText xml:space="preserve"> PAGEREF _Toc512251954 \h </w:instrText>
        </w:r>
        <w:r w:rsidR="007B3D08">
          <w:rPr>
            <w:noProof/>
            <w:webHidden/>
          </w:rPr>
        </w:r>
        <w:r w:rsidR="007B3D08">
          <w:rPr>
            <w:noProof/>
            <w:webHidden/>
          </w:rPr>
          <w:fldChar w:fldCharType="separate"/>
        </w:r>
        <w:r w:rsidR="007B3D08">
          <w:rPr>
            <w:noProof/>
            <w:webHidden/>
          </w:rPr>
          <w:t>18</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5" w:history="1">
        <w:r w:rsidR="007B3D08" w:rsidRPr="00E459DB">
          <w:rPr>
            <w:rStyle w:val="Hipercze"/>
            <w:noProof/>
          </w:rPr>
          <w:t>1.2.1. Przedmiot procedury</w:t>
        </w:r>
        <w:r w:rsidR="007B3D08">
          <w:rPr>
            <w:noProof/>
            <w:webHidden/>
          </w:rPr>
          <w:tab/>
        </w:r>
        <w:r w:rsidR="007B3D08">
          <w:rPr>
            <w:noProof/>
            <w:webHidden/>
          </w:rPr>
          <w:fldChar w:fldCharType="begin"/>
        </w:r>
        <w:r w:rsidR="007B3D08">
          <w:rPr>
            <w:noProof/>
            <w:webHidden/>
          </w:rPr>
          <w:instrText xml:space="preserve"> PAGEREF _Toc512251955 \h </w:instrText>
        </w:r>
        <w:r w:rsidR="007B3D08">
          <w:rPr>
            <w:noProof/>
            <w:webHidden/>
          </w:rPr>
        </w:r>
        <w:r w:rsidR="007B3D08">
          <w:rPr>
            <w:noProof/>
            <w:webHidden/>
          </w:rPr>
          <w:fldChar w:fldCharType="separate"/>
        </w:r>
        <w:r w:rsidR="007B3D08">
          <w:rPr>
            <w:noProof/>
            <w:webHidden/>
          </w:rPr>
          <w:t>18</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6" w:history="1">
        <w:r w:rsidR="007B3D08" w:rsidRPr="00E459DB">
          <w:rPr>
            <w:rStyle w:val="Hipercze"/>
            <w:noProof/>
          </w:rPr>
          <w:t>1.2.2. Obszar procedury</w:t>
        </w:r>
        <w:r w:rsidR="007B3D08">
          <w:rPr>
            <w:noProof/>
            <w:webHidden/>
          </w:rPr>
          <w:tab/>
        </w:r>
        <w:r w:rsidR="007B3D08">
          <w:rPr>
            <w:noProof/>
            <w:webHidden/>
          </w:rPr>
          <w:fldChar w:fldCharType="begin"/>
        </w:r>
        <w:r w:rsidR="007B3D08">
          <w:rPr>
            <w:noProof/>
            <w:webHidden/>
          </w:rPr>
          <w:instrText xml:space="preserve"> PAGEREF _Toc512251956 \h </w:instrText>
        </w:r>
        <w:r w:rsidR="007B3D08">
          <w:rPr>
            <w:noProof/>
            <w:webHidden/>
          </w:rPr>
        </w:r>
        <w:r w:rsidR="007B3D08">
          <w:rPr>
            <w:noProof/>
            <w:webHidden/>
          </w:rPr>
          <w:fldChar w:fldCharType="separate"/>
        </w:r>
        <w:r w:rsidR="007B3D08">
          <w:rPr>
            <w:noProof/>
            <w:webHidden/>
          </w:rPr>
          <w:t>18</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7" w:history="1">
        <w:r w:rsidR="007B3D08" w:rsidRPr="00E459DB">
          <w:rPr>
            <w:rStyle w:val="Hipercze"/>
            <w:noProof/>
          </w:rPr>
          <w:t>1.2.3. Funkcja procedury</w:t>
        </w:r>
        <w:r w:rsidR="007B3D08">
          <w:rPr>
            <w:noProof/>
            <w:webHidden/>
          </w:rPr>
          <w:tab/>
        </w:r>
        <w:r w:rsidR="007B3D08">
          <w:rPr>
            <w:noProof/>
            <w:webHidden/>
          </w:rPr>
          <w:fldChar w:fldCharType="begin"/>
        </w:r>
        <w:r w:rsidR="007B3D08">
          <w:rPr>
            <w:noProof/>
            <w:webHidden/>
          </w:rPr>
          <w:instrText xml:space="preserve"> PAGEREF _Toc512251957 \h </w:instrText>
        </w:r>
        <w:r w:rsidR="007B3D08">
          <w:rPr>
            <w:noProof/>
            <w:webHidden/>
          </w:rPr>
        </w:r>
        <w:r w:rsidR="007B3D08">
          <w:rPr>
            <w:noProof/>
            <w:webHidden/>
          </w:rPr>
          <w:fldChar w:fldCharType="separate"/>
        </w:r>
        <w:r w:rsidR="007B3D08">
          <w:rPr>
            <w:noProof/>
            <w:webHidden/>
          </w:rPr>
          <w:t>18</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58" w:history="1">
        <w:r w:rsidR="007B3D08" w:rsidRPr="00E459DB">
          <w:rPr>
            <w:rStyle w:val="Hipercze"/>
            <w:noProof/>
          </w:rPr>
          <w:t>1.2.4. Przebieg procesu</w:t>
        </w:r>
        <w:r w:rsidR="007B3D08">
          <w:rPr>
            <w:noProof/>
            <w:webHidden/>
          </w:rPr>
          <w:tab/>
        </w:r>
        <w:r w:rsidR="007B3D08">
          <w:rPr>
            <w:noProof/>
            <w:webHidden/>
          </w:rPr>
          <w:fldChar w:fldCharType="begin"/>
        </w:r>
        <w:r w:rsidR="007B3D08">
          <w:rPr>
            <w:noProof/>
            <w:webHidden/>
          </w:rPr>
          <w:instrText xml:space="preserve"> PAGEREF _Toc512251958 \h </w:instrText>
        </w:r>
        <w:r w:rsidR="007B3D08">
          <w:rPr>
            <w:noProof/>
            <w:webHidden/>
          </w:rPr>
        </w:r>
        <w:r w:rsidR="007B3D08">
          <w:rPr>
            <w:noProof/>
            <w:webHidden/>
          </w:rPr>
          <w:fldChar w:fldCharType="separate"/>
        </w:r>
        <w:r w:rsidR="007B3D08">
          <w:rPr>
            <w:noProof/>
            <w:webHidden/>
          </w:rPr>
          <w:t>18</w:t>
        </w:r>
        <w:r w:rsidR="007B3D08">
          <w:rPr>
            <w:noProof/>
            <w:webHidden/>
          </w:rPr>
          <w:fldChar w:fldCharType="end"/>
        </w:r>
      </w:hyperlink>
    </w:p>
    <w:p w:rsidR="007B3D08" w:rsidRDefault="00144B6F">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512251959" w:history="1">
        <w:r w:rsidR="007B3D08" w:rsidRPr="00E459DB">
          <w:rPr>
            <w:rStyle w:val="Hipercze"/>
            <w:noProof/>
          </w:rPr>
          <w:t>1.2.4.1. Przekazywanie informacji o błędach</w:t>
        </w:r>
        <w:r w:rsidR="007B3D08">
          <w:rPr>
            <w:noProof/>
            <w:webHidden/>
          </w:rPr>
          <w:tab/>
        </w:r>
        <w:r w:rsidR="007B3D08">
          <w:rPr>
            <w:noProof/>
            <w:webHidden/>
          </w:rPr>
          <w:fldChar w:fldCharType="begin"/>
        </w:r>
        <w:r w:rsidR="007B3D08">
          <w:rPr>
            <w:noProof/>
            <w:webHidden/>
          </w:rPr>
          <w:instrText xml:space="preserve"> PAGEREF _Toc512251959 \h </w:instrText>
        </w:r>
        <w:r w:rsidR="007B3D08">
          <w:rPr>
            <w:noProof/>
            <w:webHidden/>
          </w:rPr>
        </w:r>
        <w:r w:rsidR="007B3D08">
          <w:rPr>
            <w:noProof/>
            <w:webHidden/>
          </w:rPr>
          <w:fldChar w:fldCharType="separate"/>
        </w:r>
        <w:r w:rsidR="007B3D08">
          <w:rPr>
            <w:noProof/>
            <w:webHidden/>
          </w:rPr>
          <w:t>19</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60" w:history="1">
        <w:r w:rsidR="007B3D08" w:rsidRPr="00E459DB">
          <w:rPr>
            <w:rStyle w:val="Hipercze"/>
            <w:noProof/>
          </w:rPr>
          <w:t>1.2.5. Reguły związane z przebiegiem procesu</w:t>
        </w:r>
        <w:r w:rsidR="007B3D08">
          <w:rPr>
            <w:noProof/>
            <w:webHidden/>
          </w:rPr>
          <w:tab/>
        </w:r>
        <w:r w:rsidR="007B3D08">
          <w:rPr>
            <w:noProof/>
            <w:webHidden/>
          </w:rPr>
          <w:fldChar w:fldCharType="begin"/>
        </w:r>
        <w:r w:rsidR="007B3D08">
          <w:rPr>
            <w:noProof/>
            <w:webHidden/>
          </w:rPr>
          <w:instrText xml:space="preserve"> PAGEREF _Toc512251960 \h </w:instrText>
        </w:r>
        <w:r w:rsidR="007B3D08">
          <w:rPr>
            <w:noProof/>
            <w:webHidden/>
          </w:rPr>
        </w:r>
        <w:r w:rsidR="007B3D08">
          <w:rPr>
            <w:noProof/>
            <w:webHidden/>
          </w:rPr>
          <w:fldChar w:fldCharType="separate"/>
        </w:r>
        <w:r w:rsidR="007B3D08">
          <w:rPr>
            <w:noProof/>
            <w:webHidden/>
          </w:rPr>
          <w:t>20</w:t>
        </w:r>
        <w:r w:rsidR="007B3D08">
          <w:rPr>
            <w:noProof/>
            <w:webHidden/>
          </w:rPr>
          <w:fldChar w:fldCharType="end"/>
        </w:r>
      </w:hyperlink>
    </w:p>
    <w:p w:rsidR="007B3D08" w:rsidRDefault="00144B6F">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512251961" w:history="1">
        <w:r w:rsidR="007B3D08" w:rsidRPr="00E459DB">
          <w:rPr>
            <w:rStyle w:val="Hipercze"/>
            <w:noProof/>
          </w:rPr>
          <w:t>1.2.6. Załączniki</w:t>
        </w:r>
        <w:r w:rsidR="007B3D08">
          <w:rPr>
            <w:noProof/>
            <w:webHidden/>
          </w:rPr>
          <w:tab/>
        </w:r>
        <w:r w:rsidR="007B3D08">
          <w:rPr>
            <w:noProof/>
            <w:webHidden/>
          </w:rPr>
          <w:fldChar w:fldCharType="begin"/>
        </w:r>
        <w:r w:rsidR="007B3D08">
          <w:rPr>
            <w:noProof/>
            <w:webHidden/>
          </w:rPr>
          <w:instrText xml:space="preserve"> PAGEREF _Toc512251961 \h </w:instrText>
        </w:r>
        <w:r w:rsidR="007B3D08">
          <w:rPr>
            <w:noProof/>
            <w:webHidden/>
          </w:rPr>
        </w:r>
        <w:r w:rsidR="007B3D08">
          <w:rPr>
            <w:noProof/>
            <w:webHidden/>
          </w:rPr>
          <w:fldChar w:fldCharType="separate"/>
        </w:r>
        <w:r w:rsidR="007B3D08">
          <w:rPr>
            <w:noProof/>
            <w:webHidden/>
          </w:rPr>
          <w:t>21</w:t>
        </w:r>
        <w:r w:rsidR="007B3D08">
          <w:rPr>
            <w:noProof/>
            <w:webHidden/>
          </w:rPr>
          <w:fldChar w:fldCharType="end"/>
        </w:r>
      </w:hyperlink>
    </w:p>
    <w:p w:rsidR="007B3D08" w:rsidRDefault="00144B6F">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512251962" w:history="1">
        <w:r w:rsidR="007B3D08" w:rsidRPr="00E459DB">
          <w:rPr>
            <w:rStyle w:val="Hipercze"/>
            <w:noProof/>
          </w:rPr>
          <w:t>2. Czynności wykonywane na poszczególnych stanowiskach pracy</w:t>
        </w:r>
        <w:r w:rsidR="007B3D08">
          <w:rPr>
            <w:noProof/>
            <w:webHidden/>
          </w:rPr>
          <w:tab/>
        </w:r>
        <w:r w:rsidR="007B3D08">
          <w:rPr>
            <w:noProof/>
            <w:webHidden/>
          </w:rPr>
          <w:fldChar w:fldCharType="begin"/>
        </w:r>
        <w:r w:rsidR="007B3D08">
          <w:rPr>
            <w:noProof/>
            <w:webHidden/>
          </w:rPr>
          <w:instrText xml:space="preserve"> PAGEREF _Toc512251962 \h </w:instrText>
        </w:r>
        <w:r w:rsidR="007B3D08">
          <w:rPr>
            <w:noProof/>
            <w:webHidden/>
          </w:rPr>
        </w:r>
        <w:r w:rsidR="007B3D08">
          <w:rPr>
            <w:noProof/>
            <w:webHidden/>
          </w:rPr>
          <w:fldChar w:fldCharType="separate"/>
        </w:r>
        <w:r w:rsidR="007B3D08">
          <w:rPr>
            <w:noProof/>
            <w:webHidden/>
          </w:rPr>
          <w:t>22</w:t>
        </w:r>
        <w:r w:rsidR="007B3D08">
          <w:rPr>
            <w:noProof/>
            <w:webHidden/>
          </w:rPr>
          <w:fldChar w:fldCharType="end"/>
        </w:r>
      </w:hyperlink>
    </w:p>
    <w:p w:rsidR="007B3D08" w:rsidRDefault="00144B6F">
      <w:pPr>
        <w:pStyle w:val="Spistreci1"/>
        <w:tabs>
          <w:tab w:val="right" w:leader="dot" w:pos="9629"/>
        </w:tabs>
        <w:rPr>
          <w:rStyle w:val="Hipercze"/>
          <w:noProof/>
        </w:rPr>
      </w:pPr>
      <w:hyperlink w:anchor="_Toc512251963" w:history="1">
        <w:r w:rsidR="007B3D08" w:rsidRPr="00E459DB">
          <w:rPr>
            <w:rStyle w:val="Hipercze"/>
            <w:noProof/>
          </w:rPr>
          <w:t>3. Załączniki</w:t>
        </w:r>
        <w:r w:rsidR="007B3D08">
          <w:rPr>
            <w:noProof/>
            <w:webHidden/>
          </w:rPr>
          <w:tab/>
        </w:r>
        <w:r w:rsidR="007B3D08">
          <w:rPr>
            <w:noProof/>
            <w:webHidden/>
          </w:rPr>
          <w:fldChar w:fldCharType="begin"/>
        </w:r>
        <w:r w:rsidR="007B3D08">
          <w:rPr>
            <w:noProof/>
            <w:webHidden/>
          </w:rPr>
          <w:instrText xml:space="preserve"> PAGEREF _Toc512251963 \h </w:instrText>
        </w:r>
        <w:r w:rsidR="007B3D08">
          <w:rPr>
            <w:noProof/>
            <w:webHidden/>
          </w:rPr>
        </w:r>
        <w:r w:rsidR="007B3D08">
          <w:rPr>
            <w:noProof/>
            <w:webHidden/>
          </w:rPr>
          <w:fldChar w:fldCharType="separate"/>
        </w:r>
        <w:r w:rsidR="007B3D08">
          <w:rPr>
            <w:noProof/>
            <w:webHidden/>
          </w:rPr>
          <w:t>26</w:t>
        </w:r>
        <w:r w:rsidR="007B3D08">
          <w:rPr>
            <w:noProof/>
            <w:webHidden/>
          </w:rPr>
          <w:fldChar w:fldCharType="end"/>
        </w:r>
      </w:hyperlink>
    </w:p>
    <w:p w:rsidR="007B3D08" w:rsidRDefault="007B3D08" w:rsidP="007B3D08">
      <w:pPr>
        <w:rPr>
          <w:rFonts w:eastAsiaTheme="minorEastAsia"/>
        </w:rPr>
      </w:pPr>
    </w:p>
    <w:p w:rsidR="007B3D08" w:rsidRPr="00716D82" w:rsidRDefault="007B3D08" w:rsidP="007B3D08">
      <w:pPr>
        <w:rPr>
          <w:rFonts w:eastAsiaTheme="minorEastAsia"/>
          <w:sz w:val="20"/>
          <w:szCs w:val="20"/>
        </w:rPr>
      </w:pPr>
      <w:r w:rsidRPr="00716D82">
        <w:rPr>
          <w:rFonts w:eastAsiaTheme="minorEastAsia"/>
          <w:sz w:val="20"/>
          <w:szCs w:val="20"/>
        </w:rPr>
        <w:t xml:space="preserve">K-1/446 - </w:t>
      </w:r>
      <w:r w:rsidR="00716D82">
        <w:rPr>
          <w:rFonts w:eastAsiaTheme="minorEastAsia"/>
          <w:sz w:val="20"/>
          <w:szCs w:val="20"/>
        </w:rPr>
        <w:t xml:space="preserve">  </w:t>
      </w:r>
      <w:r w:rsidRPr="00716D82">
        <w:rPr>
          <w:rFonts w:eastAsiaTheme="minorEastAsia"/>
          <w:sz w:val="20"/>
          <w:szCs w:val="20"/>
        </w:rPr>
        <w:t>Karta rozpatrywania i stwierdzania nieprawidłowości</w:t>
      </w:r>
    </w:p>
    <w:p w:rsidR="007B3D08" w:rsidRPr="00716D82" w:rsidRDefault="007B3D08" w:rsidP="007B3D08">
      <w:pPr>
        <w:rPr>
          <w:sz w:val="20"/>
          <w:szCs w:val="20"/>
        </w:rPr>
      </w:pPr>
      <w:r w:rsidRPr="00716D82">
        <w:rPr>
          <w:rFonts w:eastAsiaTheme="minorEastAsia"/>
          <w:sz w:val="20"/>
          <w:szCs w:val="20"/>
        </w:rPr>
        <w:t>ZN-</w:t>
      </w:r>
      <w:r w:rsidR="00716D82" w:rsidRPr="00716D82">
        <w:rPr>
          <w:rFonts w:eastAsiaTheme="minorEastAsia"/>
          <w:sz w:val="20"/>
          <w:szCs w:val="20"/>
        </w:rPr>
        <w:t xml:space="preserve">1/446 - </w:t>
      </w:r>
      <w:r w:rsidR="00716D82" w:rsidRPr="00716D82">
        <w:rPr>
          <w:sz w:val="20"/>
          <w:szCs w:val="20"/>
        </w:rPr>
        <w:t>Kwartalne zestawienie nieprawidłowości niepodlegających raportowaniu do KE</w:t>
      </w:r>
    </w:p>
    <w:p w:rsidR="00716D82" w:rsidRPr="00716D82" w:rsidRDefault="00716D82" w:rsidP="007B3D08">
      <w:pPr>
        <w:rPr>
          <w:sz w:val="20"/>
          <w:szCs w:val="20"/>
        </w:rPr>
      </w:pPr>
      <w:r w:rsidRPr="00716D82">
        <w:rPr>
          <w:sz w:val="20"/>
          <w:szCs w:val="20"/>
        </w:rPr>
        <w:t xml:space="preserve">I-1/446 - </w:t>
      </w:r>
      <w:r>
        <w:rPr>
          <w:sz w:val="20"/>
          <w:szCs w:val="20"/>
        </w:rPr>
        <w:t xml:space="preserve">    </w:t>
      </w:r>
      <w:r w:rsidRPr="00716D82">
        <w:rPr>
          <w:sz w:val="20"/>
          <w:szCs w:val="20"/>
        </w:rPr>
        <w:t>Instrukcja sporządzania kwartalnego zestawienia nieprawidłowości niepodlegających raportowaniu do KE</w:t>
      </w:r>
    </w:p>
    <w:p w:rsidR="00716D82" w:rsidRPr="00716D82" w:rsidRDefault="00716D82" w:rsidP="007B3D08">
      <w:pPr>
        <w:rPr>
          <w:sz w:val="20"/>
          <w:szCs w:val="20"/>
        </w:rPr>
      </w:pPr>
      <w:r w:rsidRPr="00716D82">
        <w:rPr>
          <w:sz w:val="20"/>
          <w:szCs w:val="20"/>
        </w:rPr>
        <w:t xml:space="preserve">I-2/446 - </w:t>
      </w:r>
      <w:r>
        <w:rPr>
          <w:sz w:val="20"/>
          <w:szCs w:val="20"/>
        </w:rPr>
        <w:t xml:space="preserve">    </w:t>
      </w:r>
      <w:r w:rsidRPr="00716D82">
        <w:rPr>
          <w:sz w:val="20"/>
          <w:szCs w:val="20"/>
        </w:rPr>
        <w:t>Instrukcja zarządzania użytkownikami systemu IMS</w:t>
      </w:r>
    </w:p>
    <w:p w:rsidR="00716D82" w:rsidRPr="00716D82" w:rsidRDefault="00716D82" w:rsidP="007B3D08">
      <w:pPr>
        <w:rPr>
          <w:sz w:val="20"/>
          <w:szCs w:val="20"/>
        </w:rPr>
      </w:pPr>
      <w:r w:rsidRPr="00716D82">
        <w:rPr>
          <w:sz w:val="20"/>
          <w:szCs w:val="20"/>
        </w:rPr>
        <w:t xml:space="preserve">Z-1/446 - </w:t>
      </w:r>
      <w:r>
        <w:rPr>
          <w:sz w:val="20"/>
          <w:szCs w:val="20"/>
        </w:rPr>
        <w:t xml:space="preserve">   </w:t>
      </w:r>
      <w:r w:rsidRPr="00716D82">
        <w:rPr>
          <w:sz w:val="20"/>
          <w:szCs w:val="20"/>
        </w:rPr>
        <w:t>Zestawienie pól podlegających wypełnieniu w systemie IMS</w:t>
      </w:r>
    </w:p>
    <w:p w:rsidR="00716D82" w:rsidRPr="00716D82" w:rsidRDefault="00716D82" w:rsidP="007B3D08">
      <w:pPr>
        <w:rPr>
          <w:rFonts w:eastAsiaTheme="minorEastAsia"/>
          <w:sz w:val="20"/>
          <w:szCs w:val="20"/>
        </w:rPr>
      </w:pPr>
      <w:r w:rsidRPr="00716D82">
        <w:rPr>
          <w:sz w:val="20"/>
          <w:szCs w:val="20"/>
        </w:rPr>
        <w:t xml:space="preserve">R-1/446 - </w:t>
      </w:r>
      <w:r>
        <w:rPr>
          <w:sz w:val="20"/>
          <w:szCs w:val="20"/>
        </w:rPr>
        <w:t xml:space="preserve">   </w:t>
      </w:r>
      <w:r w:rsidRPr="00716D82">
        <w:rPr>
          <w:sz w:val="20"/>
          <w:szCs w:val="20"/>
        </w:rPr>
        <w:t xml:space="preserve">Rejetr błędów </w:t>
      </w:r>
    </w:p>
    <w:p w:rsidR="00391BB8" w:rsidRDefault="00A54E9E">
      <w:pPr>
        <w:sectPr w:rsidR="00391BB8">
          <w:footerReference w:type="default" r:id="rId9"/>
          <w:pgSz w:w="11906" w:h="16838"/>
          <w:pgMar w:top="1134" w:right="850" w:bottom="1134" w:left="1417" w:header="454" w:footer="454" w:gutter="0"/>
          <w:cols w:space="720"/>
        </w:sectPr>
      </w:pPr>
      <w:r>
        <w:fldChar w:fldCharType="end"/>
      </w:r>
    </w:p>
    <w:p w:rsidR="00391BB8" w:rsidRDefault="00391BB8">
      <w:pPr>
        <w:rPr>
          <w:color w:val="000000"/>
          <w:sz w:val="28"/>
        </w:rPr>
      </w:pPr>
    </w:p>
    <w:p w:rsidR="00391BB8" w:rsidRDefault="00A54E9E">
      <w:pPr>
        <w:pStyle w:val="Nagwek1"/>
      </w:pPr>
      <w:bookmarkStart w:id="0" w:name="_Toc1011"/>
      <w:bookmarkStart w:id="1" w:name="_Toc512251945"/>
      <w:r>
        <w:t>Procedury</w:t>
      </w:r>
      <w:bookmarkEnd w:id="0"/>
      <w:bookmarkEnd w:id="1"/>
    </w:p>
    <w:p w:rsidR="00391BB8" w:rsidRDefault="00391BB8">
      <w:pPr>
        <w:rPr>
          <w:color w:val="000000"/>
          <w:sz w:val="28"/>
        </w:rPr>
      </w:pPr>
    </w:p>
    <w:p w:rsidR="00391BB8" w:rsidRDefault="00A54E9E">
      <w:pPr>
        <w:pStyle w:val="Nagwek2"/>
      </w:pPr>
      <w:bookmarkStart w:id="2" w:name="_Toc1012"/>
      <w:bookmarkStart w:id="3" w:name="_Toc512251946"/>
      <w:r>
        <w:t>Procedura rozpatrywania, stwierdzania i przekazywania informacji o nieprawidłowościach</w:t>
      </w:r>
      <w:bookmarkEnd w:id="2"/>
      <w:bookmarkEnd w:id="3"/>
    </w:p>
    <w:p w:rsidR="00391BB8" w:rsidRDefault="00391BB8">
      <w:pPr>
        <w:rPr>
          <w:color w:val="000000"/>
          <w:sz w:val="28"/>
        </w:rPr>
      </w:pPr>
    </w:p>
    <w:p w:rsidR="00391BB8" w:rsidRDefault="00A54E9E">
      <w:pPr>
        <w:pStyle w:val="Nagwek3"/>
      </w:pPr>
      <w:bookmarkStart w:id="4" w:name="_Toc1013"/>
      <w:bookmarkStart w:id="5" w:name="_Toc512251947"/>
      <w:r>
        <w:t>Przedmiot procedury</w:t>
      </w:r>
      <w:bookmarkEnd w:id="4"/>
      <w:bookmarkEnd w:id="5"/>
    </w:p>
    <w:p w:rsidR="00391BB8" w:rsidRDefault="00A54E9E">
      <w:pPr>
        <w:jc w:val="both"/>
        <w:rPr>
          <w:color w:val="000000"/>
        </w:rPr>
      </w:pPr>
      <w:r>
        <w:rPr>
          <w:color w:val="000000"/>
        </w:rPr>
        <w:t>Procedura reguluje proces rozpatrywania, stwierdzania i przekazywania informacji o nieprawidłowościach przez Instytucję Pośredniczącą w ramach działań objętych Priorytetem 4 "Zwiększenie zatrudnienia i spójności terytorialnej", zawartym w Programie Operacyjnym "Rybactwo i Morze"  2014-2020..</w:t>
      </w:r>
    </w:p>
    <w:p w:rsidR="00391BB8" w:rsidRDefault="00391BB8">
      <w:pPr>
        <w:rPr>
          <w:color w:val="000000"/>
          <w:sz w:val="28"/>
        </w:rPr>
      </w:pPr>
    </w:p>
    <w:p w:rsidR="00391BB8" w:rsidRDefault="00A54E9E">
      <w:pPr>
        <w:pStyle w:val="Nagwek3"/>
      </w:pPr>
      <w:bookmarkStart w:id="6" w:name="_Toc1014"/>
      <w:bookmarkStart w:id="7" w:name="_Toc512251948"/>
      <w:r>
        <w:t>Obszar procedury</w:t>
      </w:r>
      <w:bookmarkEnd w:id="6"/>
      <w:bookmarkEnd w:id="7"/>
    </w:p>
    <w:p w:rsidR="00F67C12" w:rsidRPr="00E91351" w:rsidRDefault="00F67C12" w:rsidP="00F67C12">
      <w:pPr>
        <w:jc w:val="both"/>
      </w:pPr>
      <w:r w:rsidRPr="00E91351">
        <w:t>Procedura rozpatrywania, stwierdzania i przekazywania informacji o nieprawidłow</w:t>
      </w:r>
      <w:bookmarkStart w:id="8" w:name="_Toc199742736"/>
      <w:r w:rsidRPr="00E91351">
        <w:t>ościach dotyczy działań objętych</w:t>
      </w:r>
      <w:bookmarkEnd w:id="8"/>
      <w:r w:rsidRPr="00E91351">
        <w:t xml:space="preserve"> </w:t>
      </w:r>
      <w:r w:rsidRPr="00E91351">
        <w:rPr>
          <w:color w:val="000000"/>
        </w:rPr>
        <w:t>Priorytetem  4 „</w:t>
      </w:r>
      <w:r w:rsidRPr="00E91351">
        <w:rPr>
          <w:i/>
          <w:color w:val="000000"/>
        </w:rPr>
        <w:t>Zwiększenie zatrudnienia i spójności terytorialnej</w:t>
      </w:r>
      <w:r w:rsidRPr="00E91351">
        <w:rPr>
          <w:color w:val="000000"/>
        </w:rPr>
        <w:t xml:space="preserve">”, zawartego </w:t>
      </w:r>
      <w:r w:rsidRPr="00E91351">
        <w:rPr>
          <w:color w:val="000000"/>
        </w:rPr>
        <w:br/>
        <w:t xml:space="preserve">w Programie Operacyjnym Rybactwo i Morze: </w:t>
      </w:r>
    </w:p>
    <w:p w:rsidR="00F67C12" w:rsidRPr="00E91351" w:rsidRDefault="00F67C12" w:rsidP="00F67C12">
      <w:pPr>
        <w:pStyle w:val="Bezodstpw"/>
        <w:numPr>
          <w:ilvl w:val="0"/>
          <w:numId w:val="17"/>
        </w:numPr>
        <w:spacing w:before="60" w:line="276" w:lineRule="auto"/>
        <w:jc w:val="both"/>
        <w:rPr>
          <w:color w:val="000000"/>
        </w:rPr>
      </w:pPr>
      <w:r w:rsidRPr="00E91351">
        <w:rPr>
          <w:szCs w:val="20"/>
        </w:rPr>
        <w:t>Wsparcie</w:t>
      </w:r>
      <w:r w:rsidRPr="00E91351">
        <w:rPr>
          <w:color w:val="000000"/>
        </w:rPr>
        <w:t xml:space="preserve"> przygotowawcze</w:t>
      </w:r>
    </w:p>
    <w:p w:rsidR="00F67C12" w:rsidRPr="00E91351" w:rsidRDefault="00F67C12" w:rsidP="00F67C12">
      <w:pPr>
        <w:pStyle w:val="Bezodstpw"/>
        <w:numPr>
          <w:ilvl w:val="0"/>
          <w:numId w:val="17"/>
        </w:numPr>
        <w:spacing w:before="60" w:line="276" w:lineRule="auto"/>
        <w:jc w:val="both"/>
        <w:rPr>
          <w:color w:val="000000"/>
          <w:lang w:val="pl-PL"/>
        </w:rPr>
      </w:pPr>
      <w:r w:rsidRPr="00E91351">
        <w:rPr>
          <w:szCs w:val="20"/>
          <w:lang w:val="pl-PL"/>
        </w:rPr>
        <w:t>Realizacja</w:t>
      </w:r>
      <w:r w:rsidRPr="00E91351">
        <w:rPr>
          <w:color w:val="000000"/>
          <w:lang w:val="pl-PL"/>
        </w:rPr>
        <w:t xml:space="preserve"> lokalnych strategii rozwoju kierowanych przez społeczność</w:t>
      </w:r>
    </w:p>
    <w:p w:rsidR="00F67C12" w:rsidRPr="00E91351" w:rsidRDefault="00F67C12" w:rsidP="00F67C12">
      <w:pPr>
        <w:pStyle w:val="Bezodstpw"/>
        <w:numPr>
          <w:ilvl w:val="0"/>
          <w:numId w:val="17"/>
        </w:numPr>
        <w:spacing w:before="60" w:line="276" w:lineRule="auto"/>
        <w:jc w:val="both"/>
        <w:rPr>
          <w:color w:val="000000"/>
          <w:lang w:val="pl-PL"/>
        </w:rPr>
      </w:pPr>
      <w:r w:rsidRPr="00E91351">
        <w:rPr>
          <w:color w:val="000000"/>
          <w:lang w:val="pl-PL"/>
        </w:rPr>
        <w:t>Działania prowadzone w ramach współpracy</w:t>
      </w:r>
    </w:p>
    <w:p w:rsidR="00F67C12" w:rsidRPr="00E91351" w:rsidRDefault="00F67C12" w:rsidP="00F67C12">
      <w:pPr>
        <w:pStyle w:val="Bezodstpw"/>
        <w:numPr>
          <w:ilvl w:val="0"/>
          <w:numId w:val="17"/>
        </w:numPr>
        <w:spacing w:before="60" w:line="276" w:lineRule="auto"/>
        <w:jc w:val="both"/>
        <w:rPr>
          <w:color w:val="000000"/>
          <w:lang w:val="pl-PL"/>
        </w:rPr>
      </w:pPr>
      <w:r w:rsidRPr="00E91351">
        <w:rPr>
          <w:color w:val="000000"/>
          <w:lang w:val="pl-PL"/>
        </w:rPr>
        <w:t>Koszty bieżące i aktywizacja</w:t>
      </w:r>
    </w:p>
    <w:p w:rsidR="00391BB8" w:rsidRDefault="00A54E9E">
      <w:pPr>
        <w:jc w:val="both"/>
        <w:rPr>
          <w:color w:val="000000"/>
        </w:rPr>
      </w:pPr>
      <w:r>
        <w:rPr>
          <w:color w:val="000000"/>
        </w:rPr>
        <w:t xml:space="preserve"> </w:t>
      </w:r>
    </w:p>
    <w:p w:rsidR="00391BB8" w:rsidRDefault="00391BB8">
      <w:pPr>
        <w:rPr>
          <w:color w:val="000000"/>
          <w:sz w:val="28"/>
        </w:rPr>
      </w:pPr>
    </w:p>
    <w:p w:rsidR="00391BB8" w:rsidRDefault="00A54E9E">
      <w:pPr>
        <w:pStyle w:val="Nagwek3"/>
      </w:pPr>
      <w:bookmarkStart w:id="9" w:name="_Toc1015"/>
      <w:bookmarkStart w:id="10" w:name="_Toc512251949"/>
      <w:r>
        <w:t>Funkcja procedury</w:t>
      </w:r>
      <w:bookmarkEnd w:id="9"/>
      <w:bookmarkEnd w:id="10"/>
    </w:p>
    <w:p w:rsidR="00F67C12" w:rsidRPr="00E91351" w:rsidRDefault="00F67C12" w:rsidP="00F67C12">
      <w:pPr>
        <w:jc w:val="both"/>
      </w:pPr>
      <w:r w:rsidRPr="00E91351">
        <w:t>Procedura przedstawia przebieg procesu związanego z c</w:t>
      </w:r>
      <w:r w:rsidRPr="00E91351">
        <w:rPr>
          <w:rStyle w:val="Pogrubienie"/>
          <w:rFonts w:eastAsia="Calibri"/>
          <w:b w:val="0"/>
        </w:rPr>
        <w:t>zynnościami podejmowanymi przez</w:t>
      </w:r>
      <w:r w:rsidRPr="00E91351">
        <w:rPr>
          <w:rStyle w:val="Pogrubienie"/>
          <w:rFonts w:eastAsia="Calibri"/>
        </w:rPr>
        <w:t xml:space="preserve"> </w:t>
      </w:r>
      <w:r w:rsidRPr="00E91351">
        <w:t>pracowników komórki odpowiedzialnej za weryfikację/autoryzację wniosków</w:t>
      </w:r>
      <w:r w:rsidRPr="00E91351">
        <w:rPr>
          <w:rStyle w:val="Pogrubienie"/>
          <w:rFonts w:eastAsia="Calibri"/>
        </w:rPr>
        <w:t xml:space="preserve"> </w:t>
      </w:r>
      <w:r w:rsidRPr="00E91351">
        <w:rPr>
          <w:rStyle w:val="Pogrubienie"/>
          <w:rFonts w:eastAsia="Calibri"/>
          <w:b w:val="0"/>
        </w:rPr>
        <w:t>w przypadku podejrzenia wystąpienia nieprawidłowości, stwierdzenia nieprawidłowości, przekazywania informacji o nieprawidłowości</w:t>
      </w:r>
      <w:r w:rsidRPr="00E91351">
        <w:t xml:space="preserve"> oraz wykorzystywane wzory dokumentów.</w:t>
      </w:r>
    </w:p>
    <w:p w:rsidR="00F67C12" w:rsidRPr="00E91351" w:rsidRDefault="00F67C12" w:rsidP="00F67C12">
      <w:pPr>
        <w:jc w:val="both"/>
      </w:pPr>
      <w:r w:rsidRPr="00E91351">
        <w:t>Opis procesu rozpatrywania, stwierdzania i przekazywania informacji o nieprawidłowości na każdym etapie postępowania.</w:t>
      </w:r>
    </w:p>
    <w:p w:rsidR="00391BB8" w:rsidRDefault="00391BB8">
      <w:pPr>
        <w:rPr>
          <w:color w:val="000000"/>
          <w:sz w:val="28"/>
        </w:rPr>
      </w:pPr>
    </w:p>
    <w:p w:rsidR="00391BB8" w:rsidRDefault="00A54E9E">
      <w:pPr>
        <w:pStyle w:val="Nagwek3"/>
      </w:pPr>
      <w:bookmarkStart w:id="11" w:name="_Toc1016"/>
      <w:bookmarkStart w:id="12" w:name="_Toc512251950"/>
      <w:r>
        <w:t>Przebieg procesu</w:t>
      </w:r>
      <w:bookmarkEnd w:id="11"/>
      <w:bookmarkEnd w:id="12"/>
    </w:p>
    <w:p w:rsidR="00391BB8" w:rsidRDefault="00391BB8">
      <w:pPr>
        <w:rPr>
          <w:color w:val="000000"/>
          <w:sz w:val="28"/>
        </w:rPr>
      </w:pPr>
    </w:p>
    <w:p w:rsidR="00391BB8" w:rsidRDefault="00391BB8">
      <w:pPr>
        <w:sectPr w:rsidR="00391BB8">
          <w:footerReference w:type="default" r:id="rId10"/>
          <w:pgSz w:w="11906" w:h="16838"/>
          <w:pgMar w:top="1134" w:right="850" w:bottom="1134" w:left="1417" w:header="454" w:footer="454" w:gutter="0"/>
          <w:cols w:space="720"/>
        </w:sectPr>
      </w:pPr>
    </w:p>
    <w:p w:rsidR="00391BB8" w:rsidRDefault="00A54E9E">
      <w:pPr>
        <w:pStyle w:val="Nagwek4"/>
      </w:pPr>
      <w:bookmarkStart w:id="13" w:name="_Toc1017"/>
      <w:bookmarkStart w:id="14" w:name="_Toc512251951"/>
      <w:r>
        <w:lastRenderedPageBreak/>
        <w:t>Rozpatrywanie, stwierdzanie i przekazywanie informacji o nieprawidłowościach</w:t>
      </w:r>
      <w:bookmarkEnd w:id="13"/>
      <w:bookmarkEnd w:id="14"/>
    </w:p>
    <w:p w:rsidR="00391BB8" w:rsidRDefault="00751245">
      <w:pPr>
        <w:rPr>
          <w:color w:val="000000"/>
          <w:sz w:val="18"/>
        </w:rPr>
      </w:pPr>
      <w:r w:rsidRPr="00751245">
        <w:rPr>
          <w:noProof/>
          <w:color w:val="000000"/>
          <w:sz w:val="18"/>
        </w:rPr>
        <w:drawing>
          <wp:inline distT="0" distB="0" distL="0" distR="0">
            <wp:extent cx="6120765" cy="8552857"/>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8552857"/>
                    </a:xfrm>
                    <a:prstGeom prst="rect">
                      <a:avLst/>
                    </a:prstGeom>
                    <a:noFill/>
                    <a:ln>
                      <a:noFill/>
                    </a:ln>
                  </pic:spPr>
                </pic:pic>
              </a:graphicData>
            </a:graphic>
          </wp:inline>
        </w:drawing>
      </w:r>
    </w:p>
    <w:p w:rsidR="00391BB8" w:rsidRDefault="00391BB8">
      <w:pPr>
        <w:sectPr w:rsidR="00391BB8">
          <w:pgSz w:w="11906" w:h="16838"/>
          <w:pgMar w:top="1134" w:right="850" w:bottom="1134" w:left="1417" w:header="454" w:footer="454" w:gutter="0"/>
          <w:cols w:space="720"/>
        </w:sectPr>
      </w:pPr>
    </w:p>
    <w:p w:rsidR="00391BB8" w:rsidRDefault="00391BB8">
      <w:pPr>
        <w:rPr>
          <w:color w:val="000000"/>
          <w:sz w:val="28"/>
        </w:rPr>
      </w:pPr>
    </w:p>
    <w:p w:rsidR="00391BB8" w:rsidRDefault="00A54E9E">
      <w:pPr>
        <w:pStyle w:val="Nagwek3"/>
      </w:pPr>
      <w:bookmarkStart w:id="15" w:name="_Toc1018"/>
      <w:bookmarkStart w:id="16" w:name="_Toc512251952"/>
      <w:r>
        <w:t>Reguły związane z przebiegiem procesu</w:t>
      </w:r>
      <w:bookmarkEnd w:id="15"/>
      <w:bookmarkEnd w:id="16"/>
    </w:p>
    <w:p w:rsidR="008C6DA0" w:rsidRPr="00E91351" w:rsidRDefault="008C6DA0" w:rsidP="008C6DA0">
      <w:pPr>
        <w:spacing w:line="360" w:lineRule="auto"/>
        <w:rPr>
          <w:b/>
        </w:rPr>
      </w:pPr>
      <w:r w:rsidRPr="00E91351">
        <w:rPr>
          <w:b/>
        </w:rPr>
        <w:t>Wykaz użytych skrótów:</w:t>
      </w:r>
    </w:p>
    <w:tbl>
      <w:tblPr>
        <w:tblW w:w="0" w:type="auto"/>
        <w:tblInd w:w="-113" w:type="dxa"/>
        <w:tblLook w:val="04A0" w:firstRow="1" w:lastRow="0" w:firstColumn="1" w:lastColumn="0" w:noHBand="0" w:noVBand="1"/>
      </w:tblPr>
      <w:tblGrid>
        <w:gridCol w:w="2127"/>
        <w:gridCol w:w="5492"/>
      </w:tblGrid>
      <w:tr w:rsidR="008C6DA0" w:rsidRPr="00E91351" w:rsidTr="00A54E9E">
        <w:tc>
          <w:tcPr>
            <w:tcW w:w="2127"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Pełnomocnik</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Pełnomocnik Rządu do Spraw Zwalczania Nieprawidłowości Finansowych na Szkodę Rzeczypospolitej Polskiej lub Unii Europejskiej</w:t>
            </w:r>
          </w:p>
        </w:tc>
      </w:tr>
      <w:tr w:rsidR="008C6DA0" w:rsidRPr="00E91351" w:rsidTr="00A54E9E">
        <w:tc>
          <w:tcPr>
            <w:tcW w:w="2127"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MF-R</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 xml:space="preserve">Komórka   organizacyjna   Ministerstwa   Finansów   właściwa w zakresie organizacji procesu przekazywania do Komisji Europejskiej informacji o nieprawidłowościach </w:t>
            </w:r>
            <w:r w:rsidRPr="00E91351">
              <w:rPr>
                <w:rStyle w:val="FontStyle60"/>
                <w:rFonts w:eastAsia="Calibri"/>
              </w:rPr>
              <w:br/>
              <w:t>w ramach funduszy UE</w:t>
            </w:r>
          </w:p>
        </w:tc>
      </w:tr>
      <w:tr w:rsidR="008C6DA0" w:rsidRPr="00E91351" w:rsidTr="00A54E9E">
        <w:tc>
          <w:tcPr>
            <w:tcW w:w="2127"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AFIS</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 xml:space="preserve">(Anti-Fraud Information System) platforma informatyczna utworzona przez KE do wymiany informacji pomiędzy </w:t>
            </w:r>
          </w:p>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państwami członkowskimi a KE</w:t>
            </w:r>
          </w:p>
        </w:tc>
      </w:tr>
      <w:tr w:rsidR="008C6DA0" w:rsidRPr="00E91351" w:rsidTr="00A54E9E">
        <w:tc>
          <w:tcPr>
            <w:tcW w:w="2127"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KE</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Komisja Europejska</w:t>
            </w:r>
          </w:p>
        </w:tc>
      </w:tr>
      <w:tr w:rsidR="008C6DA0" w:rsidRPr="00E91351" w:rsidTr="00A54E9E">
        <w:tc>
          <w:tcPr>
            <w:tcW w:w="2127"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OLAF</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Europejski Urząd ds. Zwalczania Nadużyć Finansowych</w:t>
            </w:r>
          </w:p>
        </w:tc>
      </w:tr>
      <w:tr w:rsidR="008C6DA0" w:rsidRPr="00E91351" w:rsidTr="00A54E9E">
        <w:tc>
          <w:tcPr>
            <w:tcW w:w="2127"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IMS</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 xml:space="preserve">(Irregularity Management System) system uruchomiony przez KE na platformie AFIS w celu umożliwienia państwom członkowskim wywiązywania się z obowiązku informowania o nieprawidłowościach </w:t>
            </w:r>
          </w:p>
        </w:tc>
      </w:tr>
      <w:tr w:rsidR="008C6DA0" w:rsidRPr="00E91351" w:rsidTr="00A54E9E">
        <w:tc>
          <w:tcPr>
            <w:tcW w:w="2127" w:type="dxa"/>
            <w:shd w:val="clear" w:color="auto" w:fill="auto"/>
          </w:tcPr>
          <w:p w:rsidR="008C6DA0" w:rsidRPr="00E91351" w:rsidRDefault="00AF5345" w:rsidP="00A54E9E">
            <w:pPr>
              <w:pStyle w:val="Style16"/>
              <w:widowControl/>
              <w:spacing w:before="110" w:line="302" w:lineRule="exact"/>
              <w:rPr>
                <w:rStyle w:val="FontStyle60"/>
                <w:rFonts w:eastAsia="Calibri"/>
              </w:rPr>
            </w:pPr>
            <w:r>
              <w:rPr>
                <w:rStyle w:val="FontStyle60"/>
                <w:rFonts w:eastAsia="Calibri"/>
              </w:rPr>
              <w:t>IZ</w:t>
            </w:r>
          </w:p>
          <w:p w:rsidR="008C6DA0" w:rsidRDefault="008C6DA0" w:rsidP="00A54E9E">
            <w:pPr>
              <w:pStyle w:val="Style16"/>
              <w:widowControl/>
              <w:spacing w:before="110" w:line="302" w:lineRule="exact"/>
              <w:rPr>
                <w:rStyle w:val="FontStyle60"/>
                <w:rFonts w:eastAsia="Calibri"/>
              </w:rPr>
            </w:pPr>
            <w:r w:rsidRPr="00E91351">
              <w:rPr>
                <w:rStyle w:val="FontStyle60"/>
                <w:rFonts w:eastAsia="Calibri"/>
              </w:rPr>
              <w:t>IP</w:t>
            </w:r>
          </w:p>
          <w:p w:rsidR="00AF5345" w:rsidRPr="00E91351" w:rsidRDefault="00AF5345" w:rsidP="00A54E9E">
            <w:pPr>
              <w:pStyle w:val="Style16"/>
              <w:widowControl/>
              <w:spacing w:before="110" w:line="302" w:lineRule="exact"/>
              <w:rPr>
                <w:rStyle w:val="FontStyle60"/>
                <w:rFonts w:eastAsia="Calibri"/>
              </w:rPr>
            </w:pPr>
            <w:r>
              <w:rPr>
                <w:rStyle w:val="FontStyle60"/>
                <w:rFonts w:eastAsia="Calibri"/>
              </w:rPr>
              <w:t>IRII</w:t>
            </w:r>
          </w:p>
        </w:tc>
        <w:tc>
          <w:tcPr>
            <w:tcW w:w="5492" w:type="dxa"/>
            <w:shd w:val="clear" w:color="auto" w:fill="auto"/>
          </w:tcPr>
          <w:p w:rsidR="008C6DA0" w:rsidRPr="00E91351" w:rsidRDefault="008C6DA0" w:rsidP="00A54E9E">
            <w:pPr>
              <w:pStyle w:val="Style16"/>
              <w:widowControl/>
              <w:spacing w:before="110" w:line="302" w:lineRule="exact"/>
              <w:rPr>
                <w:rStyle w:val="FontStyle60"/>
                <w:rFonts w:eastAsia="Calibri"/>
              </w:rPr>
            </w:pPr>
            <w:r w:rsidRPr="00E91351">
              <w:rPr>
                <w:rStyle w:val="FontStyle60"/>
                <w:rFonts w:eastAsia="Calibri"/>
              </w:rPr>
              <w:t>Instytucja Zarządzająca</w:t>
            </w:r>
          </w:p>
          <w:p w:rsidR="008C6DA0" w:rsidRDefault="008C6DA0" w:rsidP="00A54E9E">
            <w:pPr>
              <w:pStyle w:val="Style16"/>
              <w:widowControl/>
              <w:spacing w:before="110" w:line="302" w:lineRule="exact"/>
              <w:rPr>
                <w:rStyle w:val="FontStyle60"/>
                <w:rFonts w:eastAsia="Calibri"/>
              </w:rPr>
            </w:pPr>
            <w:r w:rsidRPr="00E91351">
              <w:rPr>
                <w:rStyle w:val="FontStyle60"/>
                <w:rFonts w:eastAsia="Calibri"/>
              </w:rPr>
              <w:t>Instytucja Pośrednicząca</w:t>
            </w:r>
          </w:p>
          <w:p w:rsidR="00AF5345" w:rsidRDefault="00AF5345" w:rsidP="00A54E9E">
            <w:pPr>
              <w:pStyle w:val="Style16"/>
              <w:widowControl/>
              <w:spacing w:before="110" w:line="302" w:lineRule="exact"/>
              <w:rPr>
                <w:rStyle w:val="FontStyle60"/>
                <w:rFonts w:eastAsia="Calibri"/>
              </w:rPr>
            </w:pPr>
            <w:r>
              <w:rPr>
                <w:rStyle w:val="FontStyle60"/>
                <w:rFonts w:eastAsia="Calibri"/>
              </w:rPr>
              <w:t>Instytucja Raportująca</w:t>
            </w:r>
            <w:r w:rsidR="00E11DA8">
              <w:rPr>
                <w:rStyle w:val="FontStyle60"/>
                <w:rFonts w:eastAsia="Calibri"/>
              </w:rPr>
              <w:t xml:space="preserve"> (IŻ)</w:t>
            </w:r>
            <w:r>
              <w:rPr>
                <w:rStyle w:val="FontStyle60"/>
                <w:rFonts w:eastAsia="Calibri"/>
              </w:rPr>
              <w:t xml:space="preserve"> do MF</w:t>
            </w:r>
            <w:r w:rsidR="00E11DA8">
              <w:rPr>
                <w:rStyle w:val="FontStyle60"/>
                <w:rFonts w:eastAsia="Calibri"/>
              </w:rPr>
              <w:t xml:space="preserve"> </w:t>
            </w:r>
          </w:p>
          <w:p w:rsidR="00AF5345" w:rsidRPr="00E91351" w:rsidRDefault="00AF5345" w:rsidP="00A54E9E">
            <w:pPr>
              <w:pStyle w:val="Style16"/>
              <w:widowControl/>
              <w:spacing w:before="110" w:line="302" w:lineRule="exact"/>
              <w:rPr>
                <w:rStyle w:val="FontStyle60"/>
                <w:rFonts w:eastAsia="Calibri"/>
              </w:rPr>
            </w:pPr>
          </w:p>
        </w:tc>
      </w:tr>
    </w:tbl>
    <w:p w:rsidR="008C6DA0" w:rsidRPr="00E91351" w:rsidRDefault="008C6DA0" w:rsidP="008C6DA0">
      <w:pPr>
        <w:spacing w:line="360" w:lineRule="auto"/>
        <w:rPr>
          <w:b/>
        </w:rPr>
      </w:pPr>
      <w:r w:rsidRPr="00E91351">
        <w:rPr>
          <w:b/>
        </w:rPr>
        <w:t xml:space="preserve">Reguły dotyczące rozpatrywania i stwierdzania nieprawidłowości </w:t>
      </w:r>
    </w:p>
    <w:p w:rsidR="008C6DA0" w:rsidRPr="00E91351" w:rsidRDefault="008C6DA0" w:rsidP="008C6DA0">
      <w:pPr>
        <w:rPr>
          <w:b/>
          <w:u w:val="single"/>
        </w:rPr>
      </w:pPr>
      <w:r w:rsidRPr="00E91351">
        <w:rPr>
          <w:b/>
          <w:u w:val="single"/>
        </w:rPr>
        <w:t>Definicje</w:t>
      </w:r>
    </w:p>
    <w:p w:rsidR="008C6DA0" w:rsidRPr="00E91351" w:rsidRDefault="008C6DA0" w:rsidP="008C6DA0">
      <w:pPr>
        <w:pStyle w:val="Akapitzlist"/>
        <w:numPr>
          <w:ilvl w:val="0"/>
          <w:numId w:val="16"/>
        </w:numPr>
        <w:spacing w:before="0" w:after="160" w:line="259" w:lineRule="auto"/>
        <w:jc w:val="both"/>
        <w:rPr>
          <w:szCs w:val="24"/>
        </w:rPr>
      </w:pPr>
      <w:r w:rsidRPr="00E91351">
        <w:rPr>
          <w:iCs/>
          <w:szCs w:val="24"/>
        </w:rPr>
        <w:t xml:space="preserve">Zgodnie z zapisami art. 2 </w:t>
      </w:r>
      <w:r w:rsidRPr="00E91351">
        <w:rPr>
          <w:szCs w:val="24"/>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r., str. 320, z późn. zm.):</w:t>
      </w:r>
    </w:p>
    <w:p w:rsidR="008C6DA0" w:rsidRPr="00E91351" w:rsidRDefault="008C6DA0" w:rsidP="008C6DA0">
      <w:pPr>
        <w:tabs>
          <w:tab w:val="left" w:pos="1800"/>
        </w:tabs>
        <w:jc w:val="both"/>
        <w:rPr>
          <w:rStyle w:val="Bodytext3NotItalic"/>
        </w:rPr>
      </w:pPr>
      <w:r w:rsidRPr="00E91351">
        <w:rPr>
          <w:rStyle w:val="Bodytext3BoldNotItalic"/>
        </w:rPr>
        <w:t xml:space="preserve"> </w:t>
      </w:r>
      <w:r w:rsidRPr="00E91351">
        <w:rPr>
          <w:rStyle w:val="Bodytext3NotItalic"/>
          <w:b/>
          <w:bCs/>
        </w:rPr>
        <w:t>„nieprawidłowość</w:t>
      </w:r>
      <w:r w:rsidRPr="00E91351">
        <w:rPr>
          <w:rStyle w:val="Bodytext3NotItalic"/>
        </w:rPr>
        <w:t xml:space="preserve"> oznacza każde naruszenie prawa unijnego lub prawa krajowego dotyczącego stosowania prawa unijnego, wynikające z działania lub zaniechania podmiotu gospodarczego zaangażowanego we wdrażanie EFSI, które ma lub może mieć szkodliwy wpływ na budżet Unii poprzez obciążenie budżetu Unii nieuzasadnionym wydatkiem".</w:t>
      </w:r>
    </w:p>
    <w:p w:rsidR="008C6DA0" w:rsidRPr="00E91351" w:rsidRDefault="008C6DA0" w:rsidP="008C6DA0">
      <w:pPr>
        <w:tabs>
          <w:tab w:val="left" w:pos="1800"/>
        </w:tabs>
        <w:jc w:val="both"/>
        <w:rPr>
          <w:rStyle w:val="Bodytext3NotItalic"/>
        </w:rPr>
      </w:pPr>
      <w:r w:rsidRPr="00E91351">
        <w:rPr>
          <w:rStyle w:val="Bodytext3NotItalic"/>
        </w:rPr>
        <w:t>„</w:t>
      </w:r>
      <w:r w:rsidRPr="00E91351">
        <w:rPr>
          <w:rStyle w:val="Bodytext3NotItalic"/>
          <w:b/>
        </w:rPr>
        <w:t>podmiot gospodarczy</w:t>
      </w:r>
      <w:r w:rsidRPr="00E91351">
        <w:rPr>
          <w:rStyle w:val="Bodytext3NotItalic"/>
        </w:rPr>
        <w:t xml:space="preserve"> oznacza każdą osobę fizyczną lub prawną lub inny podmiot biorący udział we wdrażaniu pomocy z EFSI, z wyjątkiem państwa członkowskiego wykonującego swoje uprawnienia władzy publicznej"</w:t>
      </w:r>
    </w:p>
    <w:p w:rsidR="008C6DA0" w:rsidRPr="00E91351" w:rsidRDefault="008C6DA0" w:rsidP="008C6DA0">
      <w:pPr>
        <w:jc w:val="both"/>
        <w:rPr>
          <w:i/>
        </w:rPr>
      </w:pPr>
      <w:r w:rsidRPr="00E91351">
        <w:rPr>
          <w:i/>
        </w:rPr>
        <w:t>„</w:t>
      </w:r>
      <w:r w:rsidRPr="00E91351">
        <w:rPr>
          <w:b/>
          <w:i/>
        </w:rPr>
        <w:t>nieprawidłowość systemowa</w:t>
      </w:r>
      <w:r w:rsidRPr="00E91351">
        <w:rPr>
          <w:b/>
        </w:rPr>
        <w:t xml:space="preserve"> </w:t>
      </w:r>
      <w:r w:rsidRPr="00E91351">
        <w:rPr>
          <w:i/>
        </w:rPr>
        <w:t xml:space="preserve">oznacza każdą nieprawidłowość, która może mieć charakter powtarzalny, o wysokim prawdopodobieństwie wystąpienia w podobnych rodzajach operacji, będącą </w:t>
      </w:r>
      <w:r w:rsidRPr="00E91351">
        <w:rPr>
          <w:i/>
        </w:rPr>
        <w:lastRenderedPageBreak/>
        <w:t xml:space="preserve">konsekwencją istnienia poważnych defektów w skutecznym funkcjonowaniu systemu zarządzania </w:t>
      </w:r>
      <w:r w:rsidRPr="00E91351">
        <w:rPr>
          <w:i/>
        </w:rPr>
        <w:br/>
        <w:t>i kontroli, w tym polegającą na nieprowadzeniu odpowiednich procedur.</w:t>
      </w:r>
    </w:p>
    <w:p w:rsidR="008C6DA0" w:rsidRPr="00E91351" w:rsidRDefault="008C6DA0" w:rsidP="008C6DA0">
      <w:pPr>
        <w:pStyle w:val="Akapitzlist"/>
        <w:numPr>
          <w:ilvl w:val="0"/>
          <w:numId w:val="16"/>
        </w:numPr>
        <w:jc w:val="both"/>
        <w:rPr>
          <w:rStyle w:val="BodytextBold"/>
          <w:b w:val="0"/>
          <w:bCs w:val="0"/>
          <w:i/>
          <w:szCs w:val="24"/>
        </w:rPr>
      </w:pPr>
      <w:r w:rsidRPr="00E91351">
        <w:t>zgodnie z rozporządzeniem 1303/2013 oraz z przepisami dotyczącymi poszczególnych funduszy”, zgodnie z brzmieniem art. 2 pkt 38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r w:rsidRPr="00E91351">
        <w:rPr>
          <w:rStyle w:val="BodytextBold"/>
          <w:i/>
          <w:szCs w:val="24"/>
        </w:rPr>
        <w:t xml:space="preserve"> </w:t>
      </w:r>
    </w:p>
    <w:p w:rsidR="008C6DA0" w:rsidRPr="00E91351" w:rsidRDefault="008C6DA0" w:rsidP="008C6DA0">
      <w:pPr>
        <w:pStyle w:val="Akapitzlist"/>
        <w:jc w:val="both"/>
        <w:rPr>
          <w:rStyle w:val="BodytextBold"/>
          <w:b w:val="0"/>
          <w:bCs w:val="0"/>
          <w:i/>
          <w:szCs w:val="24"/>
        </w:rPr>
      </w:pP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r w:rsidRPr="00E91351">
        <w:rPr>
          <w:rStyle w:val="BodytextBold"/>
          <w:rFonts w:ascii="Times New Roman" w:hAnsi="Times New Roman" w:cs="Times New Roman"/>
          <w:i/>
          <w:sz w:val="24"/>
          <w:szCs w:val="24"/>
        </w:rPr>
        <w:t>„pierwsze ustalenie administracyjne lub sądowe</w:t>
      </w:r>
      <w:r w:rsidRPr="00E91351">
        <w:rPr>
          <w:rFonts w:ascii="Times New Roman" w:hAnsi="Times New Roman" w:cs="Times New Roman"/>
          <w:sz w:val="24"/>
          <w:szCs w:val="24"/>
        </w:rPr>
        <w:t xml:space="preserve"> oznacza pierwszą ocenę pisemną dokonaną przez właściwy organ administracyjny lub sądowy, stwierdzającą, na podstawie konkretnych faktów, istnienie nieprawidłowości, bez uszczerbku dla możliwości późniejszej zmiany lub cofnięcia tego twierdzenia w następstwie ustaleń dokonanych w trakcie postępowania administracyjnego lub sądowego".</w:t>
      </w:r>
    </w:p>
    <w:p w:rsidR="008C6DA0" w:rsidRPr="00E91351" w:rsidRDefault="008C6DA0" w:rsidP="008C6DA0">
      <w:pPr>
        <w:pStyle w:val="Tekstpodstawowy2"/>
        <w:shd w:val="clear" w:color="auto" w:fill="auto"/>
        <w:spacing w:before="0" w:after="94" w:line="240" w:lineRule="auto"/>
        <w:ind w:left="20" w:firstLine="0"/>
        <w:jc w:val="both"/>
        <w:rPr>
          <w:rFonts w:ascii="Times New Roman" w:hAnsi="Times New Roman" w:cs="Times New Roman"/>
          <w:sz w:val="24"/>
          <w:szCs w:val="24"/>
        </w:rPr>
      </w:pPr>
      <w:r w:rsidRPr="00E91351">
        <w:rPr>
          <w:rFonts w:ascii="Times New Roman" w:hAnsi="Times New Roman" w:cs="Times New Roman"/>
          <w:sz w:val="24"/>
          <w:szCs w:val="24"/>
        </w:rPr>
        <w:t>Następujące dokumenty mogą pełnić funkcję pierwszego ustalenia administracyjnego lub sądowego:</w:t>
      </w:r>
    </w:p>
    <w:p w:rsidR="008C6DA0" w:rsidRPr="00E91351" w:rsidRDefault="008C6DA0" w:rsidP="008C6DA0">
      <w:pPr>
        <w:pStyle w:val="Tekstpodstawowy2"/>
        <w:numPr>
          <w:ilvl w:val="0"/>
          <w:numId w:val="10"/>
        </w:numPr>
        <w:shd w:val="clear" w:color="auto" w:fill="auto"/>
        <w:spacing w:before="0" w:after="94" w:line="240" w:lineRule="auto"/>
        <w:jc w:val="both"/>
        <w:rPr>
          <w:rFonts w:ascii="Times New Roman" w:hAnsi="Times New Roman" w:cs="Times New Roman"/>
          <w:sz w:val="24"/>
          <w:szCs w:val="24"/>
        </w:rPr>
      </w:pPr>
      <w:r w:rsidRPr="00E91351">
        <w:rPr>
          <w:rFonts w:ascii="Times New Roman" w:hAnsi="Times New Roman" w:cs="Times New Roman"/>
          <w:sz w:val="24"/>
          <w:szCs w:val="24"/>
        </w:rPr>
        <w:t>wynik kontroli lub inny dokument kończący kontrolę lub audyt, decyzja o odrzuceniu wniosku o dofinansowanie, decyzja o odmowie podpisania umowy o dofinansowanie, decyzja o odmowie refundacji wydatków,</w:t>
      </w:r>
    </w:p>
    <w:p w:rsidR="008C6DA0" w:rsidRPr="00E91351" w:rsidRDefault="008C6DA0" w:rsidP="008C6DA0">
      <w:pPr>
        <w:pStyle w:val="Tekstpodstawowy2"/>
        <w:numPr>
          <w:ilvl w:val="0"/>
          <w:numId w:val="10"/>
        </w:numPr>
        <w:shd w:val="clear" w:color="auto" w:fill="auto"/>
        <w:spacing w:before="0" w:after="94" w:line="240" w:lineRule="auto"/>
        <w:jc w:val="both"/>
        <w:rPr>
          <w:rFonts w:ascii="Times New Roman" w:hAnsi="Times New Roman" w:cs="Times New Roman"/>
          <w:sz w:val="24"/>
          <w:szCs w:val="24"/>
        </w:rPr>
      </w:pPr>
      <w:r w:rsidRPr="00E91351">
        <w:rPr>
          <w:rFonts w:ascii="Times New Roman" w:hAnsi="Times New Roman" w:cs="Times New Roman"/>
          <w:sz w:val="24"/>
          <w:szCs w:val="24"/>
        </w:rPr>
        <w:t xml:space="preserve">decyzja o odmowie rozliczenia wydatków w ramach wypłaconej zaliczki, decyzja </w:t>
      </w:r>
      <w:r w:rsidRPr="00E91351">
        <w:rPr>
          <w:rFonts w:ascii="Times New Roman" w:hAnsi="Times New Roman" w:cs="Times New Roman"/>
          <w:sz w:val="24"/>
          <w:szCs w:val="24"/>
        </w:rPr>
        <w:br/>
        <w:t xml:space="preserve">o rozwiązaniu umowy o dofinansowanie, decyzja o zmniejszeniu dofinansowania, decyzja </w:t>
      </w:r>
      <w:r w:rsidRPr="00E91351">
        <w:rPr>
          <w:rFonts w:ascii="Times New Roman" w:hAnsi="Times New Roman" w:cs="Times New Roman"/>
          <w:sz w:val="24"/>
          <w:szCs w:val="24"/>
        </w:rPr>
        <w:br/>
        <w:t>o zwrocie nienależnie wypłaconego dofinansowania,</w:t>
      </w:r>
    </w:p>
    <w:p w:rsidR="008C6DA0" w:rsidRPr="00E91351" w:rsidRDefault="008C6DA0" w:rsidP="008C6DA0">
      <w:pPr>
        <w:pStyle w:val="Tekstpodstawowy2"/>
        <w:numPr>
          <w:ilvl w:val="0"/>
          <w:numId w:val="10"/>
        </w:numPr>
        <w:shd w:val="clear" w:color="auto" w:fill="auto"/>
        <w:spacing w:before="0" w:after="94" w:line="240" w:lineRule="auto"/>
        <w:jc w:val="both"/>
        <w:rPr>
          <w:rFonts w:ascii="Times New Roman" w:hAnsi="Times New Roman" w:cs="Times New Roman"/>
          <w:sz w:val="24"/>
          <w:szCs w:val="24"/>
        </w:rPr>
      </w:pPr>
      <w:r w:rsidRPr="00E91351">
        <w:rPr>
          <w:rFonts w:ascii="Times New Roman" w:hAnsi="Times New Roman" w:cs="Times New Roman"/>
          <w:sz w:val="24"/>
          <w:szCs w:val="24"/>
        </w:rPr>
        <w:t>raport końcowy instytucji UE (np. KE, OLAF) z kontroli, misji lub dochodzenia administracyjnego stwierdzającego nieprawidłowość;</w:t>
      </w:r>
    </w:p>
    <w:p w:rsidR="008C6DA0" w:rsidRPr="00E91351" w:rsidRDefault="008C6DA0" w:rsidP="008C6DA0">
      <w:pPr>
        <w:pStyle w:val="Tekstpodstawowy2"/>
        <w:numPr>
          <w:ilvl w:val="0"/>
          <w:numId w:val="10"/>
        </w:numPr>
        <w:shd w:val="clear" w:color="auto" w:fill="auto"/>
        <w:spacing w:before="0" w:after="94" w:line="240" w:lineRule="auto"/>
        <w:jc w:val="both"/>
        <w:rPr>
          <w:rFonts w:ascii="Times New Roman" w:hAnsi="Times New Roman" w:cs="Times New Roman"/>
          <w:sz w:val="24"/>
          <w:szCs w:val="24"/>
        </w:rPr>
      </w:pPr>
      <w:r w:rsidRPr="00E91351">
        <w:rPr>
          <w:rFonts w:ascii="Times New Roman" w:hAnsi="Times New Roman" w:cs="Times New Roman"/>
          <w:sz w:val="24"/>
          <w:szCs w:val="24"/>
        </w:rPr>
        <w:t>inny dokument sporządzony w procesie zarządzania i kontroli środków UE, stwierdzający wystąpienie nieprawidłowości,</w:t>
      </w:r>
    </w:p>
    <w:p w:rsidR="008C6DA0" w:rsidRPr="00E91351" w:rsidRDefault="008C6DA0" w:rsidP="008C6DA0">
      <w:pPr>
        <w:pStyle w:val="Tekstpodstawowy2"/>
        <w:numPr>
          <w:ilvl w:val="0"/>
          <w:numId w:val="10"/>
        </w:numPr>
        <w:shd w:val="clear" w:color="auto" w:fill="auto"/>
        <w:spacing w:before="0" w:after="94" w:line="240" w:lineRule="auto"/>
        <w:jc w:val="both"/>
        <w:rPr>
          <w:rFonts w:ascii="Times New Roman" w:hAnsi="Times New Roman" w:cs="Times New Roman"/>
          <w:sz w:val="24"/>
          <w:szCs w:val="24"/>
        </w:rPr>
      </w:pPr>
      <w:r w:rsidRPr="00E91351">
        <w:rPr>
          <w:rFonts w:ascii="Times New Roman" w:hAnsi="Times New Roman" w:cs="Times New Roman"/>
          <w:sz w:val="24"/>
          <w:szCs w:val="24"/>
        </w:rPr>
        <w:t>postanowienie o wszczęciu postępowania przez organy ścigania,</w:t>
      </w:r>
    </w:p>
    <w:p w:rsidR="008C6DA0" w:rsidRPr="00E91351" w:rsidRDefault="008C6DA0" w:rsidP="008C6DA0">
      <w:pPr>
        <w:pStyle w:val="Tekstpodstawowy2"/>
        <w:numPr>
          <w:ilvl w:val="0"/>
          <w:numId w:val="10"/>
        </w:numPr>
        <w:shd w:val="clear" w:color="auto" w:fill="auto"/>
        <w:spacing w:before="0" w:after="94" w:line="240" w:lineRule="auto"/>
        <w:jc w:val="both"/>
        <w:rPr>
          <w:rFonts w:ascii="Times New Roman" w:hAnsi="Times New Roman" w:cs="Times New Roman"/>
          <w:sz w:val="24"/>
          <w:szCs w:val="24"/>
        </w:rPr>
      </w:pPr>
      <w:r w:rsidRPr="00E91351">
        <w:rPr>
          <w:rFonts w:ascii="Times New Roman" w:hAnsi="Times New Roman" w:cs="Times New Roman"/>
          <w:sz w:val="24"/>
          <w:szCs w:val="24"/>
        </w:rPr>
        <w:t>orzeczenie sądu.</w:t>
      </w:r>
    </w:p>
    <w:p w:rsidR="008C6DA0" w:rsidRPr="00E91351" w:rsidRDefault="008C6DA0" w:rsidP="008C6DA0">
      <w:pPr>
        <w:pStyle w:val="Tekstpodstawowy2"/>
        <w:shd w:val="clear" w:color="auto" w:fill="auto"/>
        <w:spacing w:before="0" w:after="94" w:line="240" w:lineRule="auto"/>
        <w:ind w:firstLine="0"/>
        <w:jc w:val="both"/>
        <w:rPr>
          <w:rFonts w:ascii="Times New Roman" w:hAnsi="Times New Roman" w:cs="Times New Roman"/>
          <w:sz w:val="24"/>
          <w:szCs w:val="24"/>
        </w:rPr>
      </w:pPr>
      <w:r w:rsidRPr="00E91351">
        <w:rPr>
          <w:rFonts w:ascii="Times New Roman" w:hAnsi="Times New Roman" w:cs="Times New Roman"/>
          <w:sz w:val="24"/>
          <w:szCs w:val="24"/>
        </w:rPr>
        <w:t>Katalog powyższy ma charakter pomocniczy, jest zbiorem otwartym, co oznacza, że inne dokumenty, niezawarte w tym zestawieniu, mogą również pełnić funkcję pierwszego ustalenia administracyjnego lub sądowego.</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Style w:val="BodytextBold"/>
          <w:rFonts w:ascii="Times New Roman" w:hAnsi="Times New Roman" w:cs="Times New Roman"/>
          <w:sz w:val="24"/>
          <w:szCs w:val="24"/>
        </w:rPr>
        <w:t>„podejrzenie popełnienia nadużycia finansowego</w:t>
      </w:r>
      <w:r w:rsidRPr="00E91351">
        <w:rPr>
          <w:rFonts w:ascii="Times New Roman" w:hAnsi="Times New Roman" w:cs="Times New Roman"/>
          <w:sz w:val="24"/>
          <w:szCs w:val="24"/>
        </w:rPr>
        <w:t xml:space="preserve"> oznacza nieprawidłowość, która prowadzi do wszczęcia postępowania administracyjnego lub sądowego na poziomie krajowym w celu stwierdzenia zamierzonego zachowania, w szczególności nadużycia finansowego, o którym mowa w art. 1 ust. 1 litera a) Konwencji sporządzonej na podstawie artykułu K.3 Traktatu o Unii Europejskiej, o ochronie interesów finansowych Wspólnot Europejskich".</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Podejrzenie popełnienia nadużycia finansowego ustala właściwa instytucja. Zgodnie z wytycznymi KE, w sytuacji, gdy typ nieprawidłowości oraz charakterystyka popełnionego czynu wskazują na podejrzenie popełnienia nadużycia finansowego, wówczas występują wystarczające przesłanki do zakwalifikowania danej nieprawidłowości jako podejrzenia popełnienia nadużycia finansowego.</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Do typów nieprawidłowości, wskazujących na podejrzenie popełnienia nadużycia finansowego, należą między innymi (zgodnie z typologią KE wykorzystaną w systemie IMS):</w:t>
      </w:r>
    </w:p>
    <w:p w:rsidR="008C6DA0" w:rsidRPr="00E91351" w:rsidRDefault="008C6DA0" w:rsidP="008C6DA0">
      <w:pPr>
        <w:pStyle w:val="Tekstpodstawowy2"/>
        <w:shd w:val="clear" w:color="auto" w:fill="auto"/>
        <w:spacing w:before="0" w:after="22"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korupcja,</w:t>
      </w:r>
    </w:p>
    <w:p w:rsidR="008C6DA0" w:rsidRPr="00E91351" w:rsidRDefault="008C6DA0" w:rsidP="008C6DA0">
      <w:pPr>
        <w:pStyle w:val="Tekstpodstawowy2"/>
        <w:numPr>
          <w:ilvl w:val="0"/>
          <w:numId w:val="8"/>
        </w:numPr>
        <w:shd w:val="clear" w:color="auto" w:fill="auto"/>
        <w:tabs>
          <w:tab w:val="left" w:pos="709"/>
        </w:tabs>
        <w:spacing w:before="0" w:after="0" w:line="317" w:lineRule="exact"/>
        <w:ind w:left="1418" w:hanging="992"/>
        <w:jc w:val="both"/>
        <w:rPr>
          <w:rFonts w:ascii="Times New Roman" w:hAnsi="Times New Roman" w:cs="Times New Roman"/>
          <w:sz w:val="24"/>
          <w:szCs w:val="24"/>
        </w:rPr>
      </w:pPr>
      <w:r w:rsidRPr="00E91351">
        <w:rPr>
          <w:rFonts w:ascii="Times New Roman" w:hAnsi="Times New Roman" w:cs="Times New Roman"/>
          <w:sz w:val="24"/>
          <w:szCs w:val="24"/>
        </w:rPr>
        <w:t>fałszywe lub sfałszowane dokumenty towarzyszące,</w:t>
      </w:r>
    </w:p>
    <w:p w:rsidR="008C6DA0" w:rsidRPr="00E91351" w:rsidRDefault="008C6DA0" w:rsidP="008C6DA0">
      <w:pPr>
        <w:pStyle w:val="Tekstpodstawowy2"/>
        <w:numPr>
          <w:ilvl w:val="0"/>
          <w:numId w:val="8"/>
        </w:numPr>
        <w:shd w:val="clear" w:color="auto" w:fill="auto"/>
        <w:tabs>
          <w:tab w:val="left" w:pos="709"/>
        </w:tabs>
        <w:spacing w:before="0" w:after="0" w:line="317" w:lineRule="exact"/>
        <w:ind w:left="1418" w:hanging="992"/>
        <w:jc w:val="both"/>
        <w:rPr>
          <w:rFonts w:ascii="Times New Roman" w:hAnsi="Times New Roman" w:cs="Times New Roman"/>
          <w:sz w:val="24"/>
          <w:szCs w:val="24"/>
        </w:rPr>
      </w:pPr>
      <w:r w:rsidRPr="00E91351">
        <w:rPr>
          <w:rFonts w:ascii="Times New Roman" w:hAnsi="Times New Roman" w:cs="Times New Roman"/>
          <w:sz w:val="24"/>
          <w:szCs w:val="24"/>
        </w:rPr>
        <w:t>sfałszowana księgowość,</w:t>
      </w:r>
    </w:p>
    <w:p w:rsidR="008C6DA0" w:rsidRPr="00E91351" w:rsidRDefault="008C6DA0" w:rsidP="008C6DA0">
      <w:pPr>
        <w:pStyle w:val="Tekstpodstawowy2"/>
        <w:numPr>
          <w:ilvl w:val="0"/>
          <w:numId w:val="8"/>
        </w:numPr>
        <w:shd w:val="clear" w:color="auto" w:fill="auto"/>
        <w:tabs>
          <w:tab w:val="left" w:pos="709"/>
        </w:tabs>
        <w:spacing w:before="0" w:after="0" w:line="317" w:lineRule="exact"/>
        <w:ind w:left="1418" w:hanging="992"/>
        <w:jc w:val="both"/>
        <w:rPr>
          <w:rFonts w:ascii="Times New Roman" w:hAnsi="Times New Roman" w:cs="Times New Roman"/>
          <w:sz w:val="24"/>
          <w:szCs w:val="24"/>
        </w:rPr>
      </w:pPr>
      <w:r w:rsidRPr="00E91351">
        <w:rPr>
          <w:rFonts w:ascii="Times New Roman" w:hAnsi="Times New Roman" w:cs="Times New Roman"/>
          <w:sz w:val="24"/>
          <w:szCs w:val="24"/>
        </w:rPr>
        <w:t>sfałszowanie produktu,</w:t>
      </w:r>
    </w:p>
    <w:p w:rsidR="008C6DA0" w:rsidRPr="00E91351" w:rsidRDefault="008C6DA0" w:rsidP="008C6DA0">
      <w:pPr>
        <w:pStyle w:val="Tekstpodstawowy2"/>
        <w:numPr>
          <w:ilvl w:val="0"/>
          <w:numId w:val="8"/>
        </w:numPr>
        <w:shd w:val="clear" w:color="auto" w:fill="auto"/>
        <w:tabs>
          <w:tab w:val="left" w:pos="709"/>
        </w:tabs>
        <w:spacing w:before="0" w:after="0" w:line="317" w:lineRule="exact"/>
        <w:ind w:left="1418" w:hanging="992"/>
        <w:jc w:val="both"/>
        <w:rPr>
          <w:rFonts w:ascii="Times New Roman" w:hAnsi="Times New Roman" w:cs="Times New Roman"/>
          <w:sz w:val="24"/>
          <w:szCs w:val="24"/>
        </w:rPr>
      </w:pPr>
      <w:r w:rsidRPr="00E91351">
        <w:rPr>
          <w:rFonts w:ascii="Times New Roman" w:hAnsi="Times New Roman" w:cs="Times New Roman"/>
          <w:sz w:val="24"/>
          <w:szCs w:val="24"/>
        </w:rPr>
        <w:lastRenderedPageBreak/>
        <w:t>nieistniejący podmiot,</w:t>
      </w:r>
    </w:p>
    <w:p w:rsidR="008C6DA0" w:rsidRPr="00E91351" w:rsidRDefault="008C6DA0" w:rsidP="008C6DA0">
      <w:pPr>
        <w:pStyle w:val="Tekstpodstawowy2"/>
        <w:numPr>
          <w:ilvl w:val="0"/>
          <w:numId w:val="8"/>
        </w:numPr>
        <w:shd w:val="clear" w:color="auto" w:fill="auto"/>
        <w:tabs>
          <w:tab w:val="left" w:pos="709"/>
        </w:tabs>
        <w:spacing w:before="0" w:after="0" w:line="317" w:lineRule="exact"/>
        <w:ind w:left="1418" w:hanging="992"/>
        <w:jc w:val="both"/>
        <w:rPr>
          <w:rFonts w:ascii="Times New Roman" w:hAnsi="Times New Roman" w:cs="Times New Roman"/>
          <w:sz w:val="24"/>
          <w:szCs w:val="24"/>
        </w:rPr>
      </w:pPr>
      <w:r w:rsidRPr="00E91351">
        <w:rPr>
          <w:rFonts w:ascii="Times New Roman" w:hAnsi="Times New Roman" w:cs="Times New Roman"/>
          <w:sz w:val="24"/>
          <w:szCs w:val="24"/>
        </w:rPr>
        <w:t>odmowa kontroli,</w:t>
      </w:r>
    </w:p>
    <w:p w:rsidR="008C6DA0" w:rsidRPr="00E91351" w:rsidRDefault="008C6DA0" w:rsidP="008C6DA0">
      <w:pPr>
        <w:pStyle w:val="Tekstpodstawowy2"/>
        <w:numPr>
          <w:ilvl w:val="0"/>
          <w:numId w:val="8"/>
        </w:numPr>
        <w:shd w:val="clear" w:color="auto" w:fill="auto"/>
        <w:tabs>
          <w:tab w:val="left" w:pos="709"/>
        </w:tabs>
        <w:spacing w:before="0" w:after="426" w:line="317" w:lineRule="exact"/>
        <w:ind w:left="1418" w:hanging="992"/>
        <w:jc w:val="both"/>
        <w:rPr>
          <w:rFonts w:ascii="Times New Roman" w:hAnsi="Times New Roman" w:cs="Times New Roman"/>
          <w:sz w:val="24"/>
          <w:szCs w:val="24"/>
        </w:rPr>
      </w:pPr>
      <w:r w:rsidRPr="00E91351">
        <w:rPr>
          <w:rFonts w:ascii="Times New Roman" w:hAnsi="Times New Roman" w:cs="Times New Roman"/>
          <w:sz w:val="24"/>
          <w:szCs w:val="24"/>
        </w:rPr>
        <w:t>fikcyjne wykorzystanie lub przetwarzanie.</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Zgodnie z art. 1 ust. 1 lit. a</w:t>
      </w:r>
      <w:r w:rsidRPr="00E91351">
        <w:rPr>
          <w:rStyle w:val="BodytextItalic"/>
          <w:rFonts w:ascii="Times New Roman" w:hAnsi="Times New Roman" w:cs="Times New Roman"/>
          <w:sz w:val="24"/>
          <w:szCs w:val="24"/>
        </w:rPr>
        <w:t xml:space="preserve"> Konwencji w sprawie ochrony interesów finansowych</w:t>
      </w:r>
      <w:r w:rsidRPr="00E91351">
        <w:rPr>
          <w:rStyle w:val="BodytextBold"/>
          <w:rFonts w:ascii="Times New Roman" w:hAnsi="Times New Roman" w:cs="Times New Roman"/>
          <w:sz w:val="24"/>
          <w:szCs w:val="24"/>
        </w:rPr>
        <w:t xml:space="preserve"> nadużyciem finansowym (</w:t>
      </w:r>
      <w:r w:rsidRPr="00E91351">
        <w:rPr>
          <w:rFonts w:ascii="Times New Roman" w:hAnsi="Times New Roman" w:cs="Times New Roman"/>
          <w:sz w:val="24"/>
          <w:szCs w:val="24"/>
        </w:rPr>
        <w:t>Dz. U. C. 316 z 27.11.1995, s. 49.) jest w odniesieniu do wydatków „jakiekolwiek umyślne działanie lub zaniechanie dotyczące:</w:t>
      </w:r>
    </w:p>
    <w:p w:rsidR="008C6DA0" w:rsidRPr="00E91351" w:rsidRDefault="008C6DA0" w:rsidP="008C6DA0">
      <w:pPr>
        <w:pStyle w:val="Tekstpodstawowy2"/>
        <w:numPr>
          <w:ilvl w:val="0"/>
          <w:numId w:val="9"/>
        </w:numPr>
        <w:shd w:val="clear" w:color="auto" w:fill="auto"/>
        <w:spacing w:before="0" w:after="0" w:line="269" w:lineRule="exact"/>
        <w:ind w:left="720" w:right="20"/>
        <w:jc w:val="both"/>
        <w:rPr>
          <w:rFonts w:ascii="Times New Roman" w:hAnsi="Times New Roman" w:cs="Times New Roman"/>
          <w:sz w:val="24"/>
          <w:szCs w:val="24"/>
        </w:rPr>
      </w:pPr>
      <w:r w:rsidRPr="00E91351">
        <w:rPr>
          <w:rFonts w:ascii="Times New Roman" w:hAnsi="Times New Roman" w:cs="Times New Roman"/>
          <w:sz w:val="24"/>
          <w:szCs w:val="24"/>
        </w:rPr>
        <w:t xml:space="preserve">wykorzystania lub przedstawienia fałszywych, nieścisłych lub niekompletnych oświadczeń lub dokumentów, które ma na celu sprzeniewierzenie lub bezprawne zatrzymanie środków </w:t>
      </w:r>
      <w:r w:rsidRPr="00E91351">
        <w:rPr>
          <w:rFonts w:ascii="Times New Roman" w:hAnsi="Times New Roman" w:cs="Times New Roman"/>
          <w:sz w:val="24"/>
          <w:szCs w:val="24"/>
        </w:rPr>
        <w:br/>
        <w:t>z budżetu ogólnego Wspólnot Europejskich lub budżetów zarządzanych przez Wspólnoty Europejskie lub w ich imieniu,</w:t>
      </w:r>
    </w:p>
    <w:p w:rsidR="008C6DA0" w:rsidRPr="00E91351" w:rsidRDefault="008C6DA0" w:rsidP="008C6DA0">
      <w:pPr>
        <w:pStyle w:val="Tekstpodstawowy2"/>
        <w:numPr>
          <w:ilvl w:val="0"/>
          <w:numId w:val="9"/>
        </w:numPr>
        <w:shd w:val="clear" w:color="auto" w:fill="auto"/>
        <w:spacing w:before="0" w:after="0" w:line="269" w:lineRule="exact"/>
        <w:ind w:left="720" w:right="20"/>
        <w:jc w:val="both"/>
        <w:rPr>
          <w:rFonts w:ascii="Times New Roman" w:hAnsi="Times New Roman" w:cs="Times New Roman"/>
          <w:sz w:val="24"/>
          <w:szCs w:val="24"/>
        </w:rPr>
      </w:pPr>
      <w:r w:rsidRPr="00E91351">
        <w:rPr>
          <w:rFonts w:ascii="Times New Roman" w:hAnsi="Times New Roman" w:cs="Times New Roman"/>
          <w:sz w:val="24"/>
          <w:szCs w:val="24"/>
        </w:rPr>
        <w:t>nieujawnienia informacji z naruszeniem szczególnego obowiązku, w tym samym celu,</w:t>
      </w:r>
    </w:p>
    <w:p w:rsidR="008C6DA0" w:rsidRPr="00E91351" w:rsidRDefault="008C6DA0" w:rsidP="008C6DA0">
      <w:pPr>
        <w:pStyle w:val="Tekstpodstawowy2"/>
        <w:numPr>
          <w:ilvl w:val="0"/>
          <w:numId w:val="9"/>
        </w:numPr>
        <w:shd w:val="clear" w:color="auto" w:fill="auto"/>
        <w:spacing w:before="0" w:after="0" w:line="269" w:lineRule="exact"/>
        <w:ind w:left="720" w:right="20"/>
        <w:jc w:val="both"/>
        <w:rPr>
          <w:rFonts w:ascii="Times New Roman" w:hAnsi="Times New Roman" w:cs="Times New Roman"/>
          <w:sz w:val="24"/>
          <w:szCs w:val="24"/>
        </w:rPr>
      </w:pPr>
      <w:r w:rsidRPr="00E91351">
        <w:rPr>
          <w:rFonts w:ascii="Times New Roman" w:hAnsi="Times New Roman" w:cs="Times New Roman"/>
          <w:sz w:val="24"/>
          <w:szCs w:val="24"/>
        </w:rPr>
        <w:t>niewłaściwego wykorzystania takich środków do celów innych niż te, na które zostały pierwotnie przyznane".</w:t>
      </w:r>
    </w:p>
    <w:p w:rsidR="008C6DA0" w:rsidRPr="00E91351" w:rsidRDefault="008C6DA0" w:rsidP="008C6DA0">
      <w:pPr>
        <w:pStyle w:val="Tekstpodstawowy2"/>
        <w:shd w:val="clear" w:color="auto" w:fill="auto"/>
        <w:spacing w:before="0" w:after="0" w:line="269" w:lineRule="exact"/>
        <w:ind w:left="1140" w:right="20" w:firstLine="0"/>
        <w:jc w:val="both"/>
        <w:rPr>
          <w:rFonts w:ascii="Times New Roman" w:hAnsi="Times New Roman" w:cs="Times New Roman"/>
          <w:sz w:val="24"/>
          <w:szCs w:val="24"/>
        </w:rPr>
      </w:pPr>
    </w:p>
    <w:p w:rsidR="008C6DA0" w:rsidRPr="00E91351" w:rsidRDefault="008C6DA0" w:rsidP="008C6DA0">
      <w:pPr>
        <w:pStyle w:val="Tekstpodstawowy2"/>
        <w:shd w:val="clear" w:color="auto" w:fill="auto"/>
        <w:spacing w:before="0" w:after="0" w:line="264" w:lineRule="exact"/>
        <w:ind w:left="20"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 praktyce są to przypadki umyślnego działania, mające na celu bezprawne uzyskanie korzyści </w:t>
      </w:r>
      <w:r w:rsidRPr="00E91351">
        <w:rPr>
          <w:rFonts w:ascii="Times New Roman" w:hAnsi="Times New Roman" w:cs="Times New Roman"/>
          <w:sz w:val="24"/>
          <w:szCs w:val="24"/>
        </w:rPr>
        <w:br/>
        <w:t xml:space="preserve">z funduszy UE (np.: korupcja na etapie ubiegania się o pomoc, poświadczenie nieprawdy we wniosku o pomoc z funduszy UE lub w dokumentacji towarzyszącej, przedłożenie sfałszowanych dokumentów towarzyszących przy wniosku o płatność). Nadużycie finansowe jest stwierdzane </w:t>
      </w:r>
      <w:r w:rsidRPr="00E91351">
        <w:rPr>
          <w:rFonts w:ascii="Times New Roman" w:hAnsi="Times New Roman" w:cs="Times New Roman"/>
          <w:sz w:val="24"/>
          <w:szCs w:val="24"/>
        </w:rPr>
        <w:br/>
        <w:t>w toku postępowania karnego, w momencie wydania prawomocnego wyroku sądu. Do tego czasu przypadek będący przedmiotem postępowania karnego jest kwalifikowany jako podejrzenie popełnienia nadużycia finansowego.</w:t>
      </w:r>
    </w:p>
    <w:p w:rsidR="008C6DA0" w:rsidRPr="00E91351" w:rsidRDefault="008C6DA0" w:rsidP="008C6DA0">
      <w:pPr>
        <w:pStyle w:val="Tekstpodstawowy2"/>
        <w:shd w:val="clear" w:color="auto" w:fill="auto"/>
        <w:spacing w:before="0" w:after="0" w:line="264" w:lineRule="exact"/>
        <w:ind w:left="20" w:right="20" w:firstLine="0"/>
        <w:jc w:val="both"/>
        <w:rPr>
          <w:rFonts w:ascii="Times New Roman" w:hAnsi="Times New Roman" w:cs="Times New Roman"/>
          <w:sz w:val="24"/>
          <w:szCs w:val="24"/>
        </w:rPr>
      </w:pPr>
    </w:p>
    <w:p w:rsidR="008C6DA0" w:rsidRPr="00E91351" w:rsidRDefault="008C6DA0" w:rsidP="008C6DA0">
      <w:pPr>
        <w:pStyle w:val="Tekstpodstawowy2"/>
        <w:shd w:val="clear" w:color="auto" w:fill="auto"/>
        <w:spacing w:before="0" w:after="0" w:line="264" w:lineRule="exact"/>
        <w:ind w:left="20" w:right="20" w:firstLine="0"/>
        <w:jc w:val="both"/>
        <w:rPr>
          <w:rFonts w:ascii="Times New Roman" w:hAnsi="Times New Roman" w:cs="Times New Roman"/>
          <w:b/>
          <w:sz w:val="24"/>
          <w:szCs w:val="24"/>
          <w:u w:val="single"/>
        </w:rPr>
      </w:pPr>
      <w:r w:rsidRPr="00E91351">
        <w:rPr>
          <w:rFonts w:ascii="Times New Roman" w:hAnsi="Times New Roman" w:cs="Times New Roman"/>
          <w:b/>
          <w:sz w:val="24"/>
          <w:szCs w:val="24"/>
          <w:u w:val="single"/>
        </w:rPr>
        <w:t>R.1 Informowanie o nieprawidłowościach</w:t>
      </w:r>
    </w:p>
    <w:p w:rsidR="008C6DA0" w:rsidRPr="00E91351" w:rsidRDefault="008C6DA0" w:rsidP="008C6DA0">
      <w:pPr>
        <w:pStyle w:val="Tekstpodstawowy2"/>
        <w:shd w:val="clear" w:color="auto" w:fill="auto"/>
        <w:spacing w:before="0" w:after="0" w:line="264" w:lineRule="exact"/>
        <w:ind w:left="20"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Proces powiadamiania KE o nieprawidłowościach w funduszach UE odbywa się za pomocą dedykowanego systemu informatycznego IMS, udostępnionego państwom członkowskim przez KE (OLAF). OLAF, jako administrator systemu IMS, decyduje o sposobie i zakresie informowania </w:t>
      </w:r>
      <w:r w:rsidRPr="00E91351">
        <w:rPr>
          <w:rFonts w:ascii="Times New Roman" w:hAnsi="Times New Roman" w:cs="Times New Roman"/>
          <w:sz w:val="24"/>
          <w:szCs w:val="24"/>
        </w:rPr>
        <w:br/>
        <w:t>o nieprawidłowościach oraz nadaje uprawnienia użytkownikom systemu.</w:t>
      </w:r>
    </w:p>
    <w:p w:rsidR="008C6DA0" w:rsidRPr="00E91351" w:rsidRDefault="008C6DA0" w:rsidP="008C6DA0">
      <w:pPr>
        <w:pStyle w:val="Tekstpodstawowy2"/>
        <w:shd w:val="clear" w:color="auto" w:fill="auto"/>
        <w:spacing w:before="0" w:after="72" w:line="278"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System został wdrożony w oparciu o strukturę raportowania nieprawidłowości, złożoną z właściwych instytucji w ramach poszczególnych funduszy UE. Przekazywanie zgłoszeń nieprawidłowości do KE przez zaangażowane instytucje obsługujące m.in. PO „Rybactwo i Morze”.</w:t>
      </w:r>
    </w:p>
    <w:p w:rsidR="008C6DA0" w:rsidRPr="00E91351" w:rsidRDefault="008C6DA0" w:rsidP="008C6DA0">
      <w:pPr>
        <w:pStyle w:val="Tekstpodstawowy2"/>
        <w:shd w:val="clear" w:color="auto" w:fill="auto"/>
        <w:spacing w:before="0" w:after="64" w:line="269" w:lineRule="exact"/>
        <w:ind w:right="20" w:firstLine="0"/>
        <w:jc w:val="both"/>
        <w:rPr>
          <w:rFonts w:ascii="Times New Roman" w:hAnsi="Times New Roman" w:cs="Times New Roman"/>
          <w:color w:val="FFFFFF" w:themeColor="background1"/>
          <w:sz w:val="24"/>
          <w:szCs w:val="24"/>
        </w:rPr>
      </w:pPr>
      <w:r w:rsidRPr="00E91351">
        <w:rPr>
          <w:rFonts w:ascii="Times New Roman" w:hAnsi="Times New Roman" w:cs="Times New Roman"/>
          <w:sz w:val="24"/>
          <w:szCs w:val="24"/>
        </w:rPr>
        <w:t xml:space="preserve">Instytucja inicjująca to i instytucja sporządzająca zgłoszenie nieprawidłowości na potrzeby niniejszej procedury, dokonująca stwierdzenia nieprawidłowości (podpisująca dokument będący pierwszym ustaleniem administracyjnym lub sądowym). Instytucja inicjująca odpowiada za prawidłowość </w:t>
      </w:r>
      <w:r w:rsidRPr="00E91351">
        <w:rPr>
          <w:rFonts w:ascii="Times New Roman" w:hAnsi="Times New Roman" w:cs="Times New Roman"/>
          <w:sz w:val="24"/>
          <w:szCs w:val="24"/>
        </w:rPr>
        <w:br/>
        <w:t xml:space="preserve">i kompletność informacji zawartych w zgłoszeniu nieprawidłowości. Decyduje ona zarówno o tym, czy miało miejsce naruszenie przepisów, jak również o kwalifikacji (nieprawidłowość, podejrzenie popełnienia nadużycia finansowego, nadużycie finansowe). Instytucja inicjująca decyduje także </w:t>
      </w:r>
      <w:r w:rsidRPr="00E91351">
        <w:rPr>
          <w:rFonts w:ascii="Times New Roman" w:hAnsi="Times New Roman" w:cs="Times New Roman"/>
          <w:sz w:val="24"/>
          <w:szCs w:val="24"/>
        </w:rPr>
        <w:br/>
        <w:t xml:space="preserve">o ewentualnym zastosowaniu odstępstw od zgłoszenia nieprawidłowości do KE </w:t>
      </w:r>
      <w:r w:rsidRPr="00E91351">
        <w:rPr>
          <w:rFonts w:ascii="Times New Roman" w:hAnsi="Times New Roman" w:cs="Times New Roman"/>
          <w:color w:val="FFFFFF" w:themeColor="background1"/>
          <w:sz w:val="24"/>
          <w:szCs w:val="24"/>
        </w:rPr>
        <w:t>(patrz R2).</w:t>
      </w:r>
    </w:p>
    <w:p w:rsidR="008C6DA0" w:rsidRPr="00E91351" w:rsidRDefault="008C6DA0" w:rsidP="008C6DA0">
      <w:pPr>
        <w:pStyle w:val="Tekstpodstawowy2"/>
        <w:shd w:val="clear" w:color="auto" w:fill="auto"/>
        <w:spacing w:before="0" w:after="0" w:line="264"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 tym celu instytucja inicjująca sporządza zgłoszenie inicjujące informujące o nowym przypadku nieprawidłowości. Jeżeli niektóre z informacji, określonych w formularzu elektronicznym systemu IMS, nie są dostępne w momencie sporządzenia zgłoszenia inicjującego, zgłoszenie wysyła się bez nich. Instytucja inicjująca, posiadająca dostęp do dokumentacji związanej z nieprawidłowością, jest odpowiedzialna za prawidłowość sporządzenia zgłoszenia, kompletność i prawdziwość zawartych </w:t>
      </w:r>
      <w:r w:rsidRPr="00E91351">
        <w:rPr>
          <w:rFonts w:ascii="Times New Roman" w:hAnsi="Times New Roman" w:cs="Times New Roman"/>
          <w:sz w:val="24"/>
          <w:szCs w:val="24"/>
        </w:rPr>
        <w:br/>
        <w:t>w nim informacji.</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 systemie IMS zgłoszenie inicjujące jest finalizowane i przekazywane do IZ, która dokonuje jego weryfikacji. Po weryfikacji, IZ przekazuje zgłoszenie do MF-R lub w razie konieczności dokonania poprawek – odsyła zgłoszenie do instytucji inicjującej (instytucja inicjująca dokonuje korekty </w:t>
      </w:r>
      <w:r w:rsidRPr="00E91351">
        <w:rPr>
          <w:rFonts w:ascii="Times New Roman" w:hAnsi="Times New Roman" w:cs="Times New Roman"/>
          <w:sz w:val="24"/>
          <w:szCs w:val="24"/>
        </w:rPr>
        <w:br/>
        <w:t xml:space="preserve">w ciągu </w:t>
      </w:r>
      <w:r w:rsidRPr="00E91351">
        <w:rPr>
          <w:rFonts w:ascii="Times New Roman" w:hAnsi="Times New Roman" w:cs="Times New Roman"/>
          <w:b/>
          <w:sz w:val="24"/>
          <w:szCs w:val="24"/>
        </w:rPr>
        <w:t>5 dni</w:t>
      </w:r>
      <w:r w:rsidRPr="00E91351">
        <w:rPr>
          <w:rFonts w:ascii="Times New Roman" w:hAnsi="Times New Roman" w:cs="Times New Roman"/>
          <w:sz w:val="24"/>
          <w:szCs w:val="24"/>
        </w:rPr>
        <w:t xml:space="preserve"> od odrzucenia, po czym finalizuje zgłoszenie.). MF-R przesyła zgłoszenie do KE.</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Dopuszczalne jest przekazanie jednego zgłoszenia informującego o stwierdzeniu nieprawidłowości oraz jednocześnie zamykającego dany przypadek (zgłoszenie inicjujące zamykające). Jeżeli w danej sprawie przekazano zgłoszenie inicjujące i nie dokonano zamknięcia sprawy, po zakończeniu wszystkich postępowań w sprawie należy przekazać zgłoszenie uzupełniające zamykające.</w:t>
      </w:r>
    </w:p>
    <w:p w:rsidR="008C6DA0" w:rsidRPr="00E91351" w:rsidRDefault="008C6DA0" w:rsidP="008C6DA0">
      <w:pPr>
        <w:pStyle w:val="Tekstpodstawowy2"/>
        <w:shd w:val="clear" w:color="auto" w:fill="auto"/>
        <w:spacing w:before="0" w:after="3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lastRenderedPageBreak/>
        <w:t xml:space="preserve">W przypadku, jeśli instytucja raportująca, po przekazaniu zgłoszenia na wyższy poziom stwierdzi, iż dane </w:t>
      </w:r>
      <w:r w:rsidRPr="00E91351">
        <w:rPr>
          <w:rFonts w:ascii="Times New Roman" w:hAnsi="Times New Roman" w:cs="Times New Roman"/>
          <w:sz w:val="24"/>
          <w:szCs w:val="24"/>
        </w:rPr>
        <w:br/>
        <w:t>w zgłoszeniu wymagają korekty (są nieprawidłowe lub niekompletne), sposób postępowania jest następujący:</w:t>
      </w:r>
    </w:p>
    <w:p w:rsidR="008C6DA0" w:rsidRPr="00E91351" w:rsidRDefault="008C6DA0" w:rsidP="008C6DA0">
      <w:pPr>
        <w:pStyle w:val="Tekstpodstawowy2"/>
        <w:numPr>
          <w:ilvl w:val="0"/>
          <w:numId w:val="8"/>
        </w:numPr>
        <w:shd w:val="clear" w:color="auto" w:fill="auto"/>
        <w:tabs>
          <w:tab w:val="left" w:pos="1553"/>
        </w:tabs>
        <w:spacing w:before="0" w:after="0" w:line="307" w:lineRule="exact"/>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jeżeli zgłoszenie nie zostało jeszcze wysłane do KE, instytucja zwraca się do instytucji weryfikującej z prośbą o jego odrzucenie. Skorygowane zgłoszenie zostaje ponownie skierowane na poziom wyższy,</w:t>
      </w:r>
    </w:p>
    <w:p w:rsidR="008C6DA0" w:rsidRPr="00E91351" w:rsidRDefault="008C6DA0" w:rsidP="008C6DA0">
      <w:pPr>
        <w:pStyle w:val="Tekstpodstawowy2"/>
        <w:numPr>
          <w:ilvl w:val="0"/>
          <w:numId w:val="8"/>
        </w:numPr>
        <w:shd w:val="clear" w:color="auto" w:fill="auto"/>
        <w:tabs>
          <w:tab w:val="left" w:pos="1553"/>
        </w:tabs>
        <w:spacing w:before="0" w:after="0" w:line="307" w:lineRule="exact"/>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jeżeli zgłoszenie zostało już przekazane przez MF-R do KE, wszelkie uzupełnienia oraz korekty powinny być wykonane w trybie informowania o działaniach następczych w innym okresie sprawozdawczym.</w:t>
      </w:r>
    </w:p>
    <w:p w:rsidR="008C6DA0" w:rsidRPr="00E91351" w:rsidRDefault="008C6DA0" w:rsidP="008C6DA0">
      <w:pPr>
        <w:pStyle w:val="Tekstpodstawowy2"/>
        <w:shd w:val="clear" w:color="auto" w:fill="auto"/>
        <w:spacing w:before="0" w:after="107"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Instytucja inicjująca zobowiązana jest do informowania KE o działaniach następczych prowadzonych w związku z nieprawidłowością uprzednio zgłoszoną do KE. Informacje przekazywane są w formie zgłoszenia uzupełniającego w systemie IMS.</w:t>
      </w:r>
    </w:p>
    <w:p w:rsidR="008C6DA0" w:rsidRPr="00E91351" w:rsidRDefault="008C6DA0" w:rsidP="008C6DA0">
      <w:pPr>
        <w:pStyle w:val="Tekstpodstawowy2"/>
        <w:shd w:val="clear" w:color="auto" w:fill="auto"/>
        <w:spacing w:before="0" w:after="34" w:line="210" w:lineRule="exact"/>
        <w:ind w:firstLine="0"/>
        <w:jc w:val="both"/>
        <w:rPr>
          <w:rFonts w:ascii="Times New Roman" w:hAnsi="Times New Roman" w:cs="Times New Roman"/>
          <w:sz w:val="24"/>
          <w:szCs w:val="24"/>
        </w:rPr>
      </w:pPr>
      <w:r w:rsidRPr="00E91351">
        <w:rPr>
          <w:rFonts w:ascii="Times New Roman" w:hAnsi="Times New Roman" w:cs="Times New Roman"/>
          <w:sz w:val="24"/>
          <w:szCs w:val="24"/>
        </w:rPr>
        <w:t>Zgłoszenia uzupełniające dzielą się na:</w:t>
      </w:r>
    </w:p>
    <w:p w:rsidR="008C6DA0" w:rsidRPr="00E91351" w:rsidRDefault="008C6DA0" w:rsidP="008C6DA0">
      <w:pPr>
        <w:pStyle w:val="Tekstpodstawowy2"/>
        <w:numPr>
          <w:ilvl w:val="0"/>
          <w:numId w:val="12"/>
        </w:numPr>
        <w:shd w:val="clear" w:color="auto" w:fill="auto"/>
        <w:tabs>
          <w:tab w:val="left" w:pos="1567"/>
        </w:tabs>
        <w:spacing w:before="0" w:after="0" w:line="317" w:lineRule="exact"/>
        <w:jc w:val="both"/>
        <w:rPr>
          <w:rFonts w:ascii="Times New Roman" w:hAnsi="Times New Roman" w:cs="Times New Roman"/>
          <w:sz w:val="24"/>
          <w:szCs w:val="24"/>
        </w:rPr>
      </w:pPr>
      <w:r w:rsidRPr="00E91351">
        <w:rPr>
          <w:rFonts w:ascii="Times New Roman" w:hAnsi="Times New Roman" w:cs="Times New Roman"/>
          <w:sz w:val="24"/>
          <w:szCs w:val="24"/>
        </w:rPr>
        <w:t>anulujące,</w:t>
      </w:r>
    </w:p>
    <w:p w:rsidR="008C6DA0" w:rsidRPr="00E91351" w:rsidRDefault="008C6DA0" w:rsidP="008C6DA0">
      <w:pPr>
        <w:pStyle w:val="Tekstpodstawowy2"/>
        <w:numPr>
          <w:ilvl w:val="0"/>
          <w:numId w:val="12"/>
        </w:numPr>
        <w:shd w:val="clear" w:color="auto" w:fill="auto"/>
        <w:tabs>
          <w:tab w:val="left" w:pos="1567"/>
        </w:tabs>
        <w:spacing w:before="0" w:after="0" w:line="317" w:lineRule="exact"/>
        <w:jc w:val="both"/>
        <w:rPr>
          <w:rFonts w:ascii="Times New Roman" w:hAnsi="Times New Roman" w:cs="Times New Roman"/>
          <w:sz w:val="24"/>
          <w:szCs w:val="24"/>
        </w:rPr>
      </w:pPr>
      <w:r w:rsidRPr="00E91351">
        <w:rPr>
          <w:rFonts w:ascii="Times New Roman" w:hAnsi="Times New Roman" w:cs="Times New Roman"/>
          <w:sz w:val="24"/>
          <w:szCs w:val="24"/>
        </w:rPr>
        <w:t>zamykające,</w:t>
      </w:r>
    </w:p>
    <w:p w:rsidR="008C6DA0" w:rsidRPr="00E91351" w:rsidRDefault="008C6DA0" w:rsidP="008C6DA0">
      <w:pPr>
        <w:pStyle w:val="Tekstpodstawowy2"/>
        <w:numPr>
          <w:ilvl w:val="0"/>
          <w:numId w:val="12"/>
        </w:numPr>
        <w:shd w:val="clear" w:color="auto" w:fill="auto"/>
        <w:tabs>
          <w:tab w:val="left" w:pos="1567"/>
        </w:tabs>
        <w:spacing w:before="0" w:after="99" w:line="317" w:lineRule="exact"/>
        <w:jc w:val="both"/>
        <w:rPr>
          <w:rFonts w:ascii="Times New Roman" w:hAnsi="Times New Roman" w:cs="Times New Roman"/>
          <w:sz w:val="24"/>
          <w:szCs w:val="24"/>
        </w:rPr>
      </w:pPr>
      <w:r w:rsidRPr="00E91351">
        <w:rPr>
          <w:rFonts w:ascii="Times New Roman" w:hAnsi="Times New Roman" w:cs="Times New Roman"/>
          <w:sz w:val="24"/>
          <w:szCs w:val="24"/>
        </w:rPr>
        <w:t>aktualizujące.</w:t>
      </w:r>
    </w:p>
    <w:p w:rsidR="008C6DA0" w:rsidRPr="00E91351" w:rsidRDefault="008C6DA0" w:rsidP="008C6DA0">
      <w:pPr>
        <w:pStyle w:val="Tekstpodstawowy2"/>
        <w:shd w:val="clear" w:color="auto" w:fill="auto"/>
        <w:spacing w:before="0" w:after="352" w:line="210" w:lineRule="exact"/>
        <w:ind w:firstLine="0"/>
        <w:jc w:val="both"/>
        <w:rPr>
          <w:rFonts w:ascii="Times New Roman" w:hAnsi="Times New Roman" w:cs="Times New Roman"/>
          <w:sz w:val="24"/>
          <w:szCs w:val="24"/>
        </w:rPr>
      </w:pPr>
      <w:r w:rsidRPr="00E91351">
        <w:rPr>
          <w:rFonts w:ascii="Times New Roman" w:hAnsi="Times New Roman" w:cs="Times New Roman"/>
          <w:sz w:val="24"/>
          <w:szCs w:val="24"/>
        </w:rPr>
        <w:t>Zgłoszenia anulujące oraz zamykające nie podlegają korekcie po wysłaniu do KE.</w:t>
      </w:r>
    </w:p>
    <w:p w:rsidR="008C6DA0" w:rsidRPr="00E91351" w:rsidRDefault="008C6DA0" w:rsidP="008C6DA0">
      <w:pPr>
        <w:rPr>
          <w:u w:val="single"/>
        </w:rPr>
      </w:pPr>
      <w:bookmarkStart w:id="17" w:name="bookmark40"/>
      <w:bookmarkStart w:id="18" w:name="bookmark41"/>
      <w:r w:rsidRPr="00E91351">
        <w:rPr>
          <w:b/>
          <w:u w:val="single"/>
        </w:rPr>
        <w:t>R.2 Nieprawidłowości niepodlegające zgłoszeniu do KE</w:t>
      </w:r>
      <w:bookmarkEnd w:id="17"/>
      <w:bookmarkEnd w:id="18"/>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KE nie należy informować o następujących przypadkach: niewykonanie operacji z powodu upadłości beneficjenta, nieprawidłowość zgłoszona właściwym instytucjom z własnej woli przez beneficjenta przed jej wykryciem oraz nieprawidłowość „wykryta i skorygowana" przez właściwe instytucje „zanim włączono stosowne wydatki do zestawienia wydatków przedkładanego Komisji".</w:t>
      </w:r>
    </w:p>
    <w:p w:rsidR="008C6DA0" w:rsidRPr="00E91351" w:rsidRDefault="008C6DA0" w:rsidP="008C6DA0">
      <w:pPr>
        <w:pStyle w:val="Tekstpodstawowy2"/>
        <w:shd w:val="clear" w:color="auto" w:fill="auto"/>
        <w:spacing w:before="0" w:after="107"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Szczegółowe sformułowanie odstępstw zostało określone w Rozporządzeniu nr 1303/2013, art. 122 ust. 2:</w:t>
      </w:r>
    </w:p>
    <w:p w:rsidR="008C6DA0" w:rsidRPr="00E91351" w:rsidRDefault="008C6DA0" w:rsidP="008C6DA0">
      <w:pPr>
        <w:pStyle w:val="Tekstpodstawowy2"/>
        <w:numPr>
          <w:ilvl w:val="0"/>
          <w:numId w:val="11"/>
        </w:numPr>
        <w:shd w:val="clear" w:color="auto" w:fill="auto"/>
        <w:spacing w:before="0" w:after="107" w:line="269" w:lineRule="exact"/>
        <w:ind w:right="20"/>
        <w:jc w:val="both"/>
        <w:rPr>
          <w:rFonts w:ascii="Times New Roman" w:hAnsi="Times New Roman" w:cs="Times New Roman"/>
          <w:sz w:val="24"/>
          <w:szCs w:val="24"/>
        </w:rPr>
      </w:pPr>
      <w:r w:rsidRPr="00E91351">
        <w:rPr>
          <w:rFonts w:ascii="Times New Roman" w:hAnsi="Times New Roman" w:cs="Times New Roman"/>
          <w:sz w:val="24"/>
          <w:szCs w:val="24"/>
        </w:rPr>
        <w:t xml:space="preserve">gdy nieprawidłowość polega jedynie na niewykonaniu, w całości lub w części, operacji objętej dofinansowanym programem operacyjnym z powodu upadłości beneficjenta (we wszystkich innych przypadkach, w szczególności poprzedzających upadłość, lub </w:t>
      </w:r>
      <w:r w:rsidRPr="00E91351">
        <w:rPr>
          <w:rFonts w:ascii="Times New Roman" w:hAnsi="Times New Roman" w:cs="Times New Roman"/>
          <w:sz w:val="24"/>
          <w:szCs w:val="24"/>
        </w:rPr>
        <w:br/>
        <w:t>w przypadkach, gdy podejrzewa się nadużycie finansowe, wykryte nieprawidłowości oraz związane z nimi środki zapobiegawcze i korygujące zgłasza się Komisji);</w:t>
      </w:r>
    </w:p>
    <w:p w:rsidR="008C6DA0" w:rsidRPr="00E91351" w:rsidRDefault="008C6DA0" w:rsidP="008C6DA0">
      <w:pPr>
        <w:pStyle w:val="Tekstpodstawowy2"/>
        <w:numPr>
          <w:ilvl w:val="0"/>
          <w:numId w:val="11"/>
        </w:numPr>
        <w:shd w:val="clear" w:color="auto" w:fill="auto"/>
        <w:spacing w:before="0" w:after="107" w:line="269" w:lineRule="exact"/>
        <w:ind w:right="20"/>
        <w:jc w:val="both"/>
        <w:rPr>
          <w:rFonts w:ascii="Times New Roman" w:hAnsi="Times New Roman" w:cs="Times New Roman"/>
          <w:sz w:val="24"/>
          <w:szCs w:val="24"/>
        </w:rPr>
      </w:pPr>
      <w:r w:rsidRPr="00E91351">
        <w:rPr>
          <w:rFonts w:ascii="Times New Roman" w:hAnsi="Times New Roman" w:cs="Times New Roman"/>
          <w:sz w:val="24"/>
          <w:szCs w:val="24"/>
        </w:rPr>
        <w:t>nieprawidłowości zostały zgłoszone dobrowolnie przez beneficjenta instytucji zarządzającej lub instytucji certyfikującej, zanim którakolwiek z tych instytucji wykryje nieprawidłowość, zarówno przed wypłaceniem wkładu publicznego, jak i po nim;</w:t>
      </w:r>
    </w:p>
    <w:p w:rsidR="008C6DA0" w:rsidRPr="00E91351" w:rsidRDefault="008C6DA0" w:rsidP="008C6DA0">
      <w:pPr>
        <w:pStyle w:val="Tekstpodstawowy2"/>
        <w:numPr>
          <w:ilvl w:val="0"/>
          <w:numId w:val="11"/>
        </w:numPr>
        <w:shd w:val="clear" w:color="auto" w:fill="auto"/>
        <w:spacing w:before="0" w:after="107" w:line="269" w:lineRule="exact"/>
        <w:ind w:right="20"/>
        <w:jc w:val="both"/>
        <w:rPr>
          <w:rFonts w:ascii="Times New Roman" w:hAnsi="Times New Roman" w:cs="Times New Roman"/>
          <w:sz w:val="24"/>
          <w:szCs w:val="24"/>
        </w:rPr>
      </w:pPr>
      <w:r w:rsidRPr="00E91351">
        <w:rPr>
          <w:rFonts w:ascii="Times New Roman" w:hAnsi="Times New Roman" w:cs="Times New Roman"/>
          <w:sz w:val="24"/>
          <w:szCs w:val="24"/>
        </w:rPr>
        <w:t>nieprawidłowości zostały wykryte i skorygowane przez instytucję zarządzającą lub instytucję certyfikującą, zanim włączono stosowne wydatki do zestawienia wydatków przedkładanego Komisji.</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 szczególności nie należy zgłaszać do KE przypadków nieprawidłowości, które zostały wykryte </w:t>
      </w:r>
      <w:r w:rsidRPr="00E91351">
        <w:rPr>
          <w:rFonts w:ascii="Times New Roman" w:hAnsi="Times New Roman" w:cs="Times New Roman"/>
          <w:sz w:val="24"/>
          <w:szCs w:val="24"/>
        </w:rPr>
        <w:br/>
        <w:t xml:space="preserve">i skorygowane przez właściwą instytucję przed włączeniem związanych z nimi wydatków do wniosku o płatność okresową, przedkładanego KE (na podstawie przepisów obowiązujących </w:t>
      </w:r>
      <w:r w:rsidRPr="00E91351">
        <w:rPr>
          <w:rFonts w:ascii="Times New Roman" w:hAnsi="Times New Roman" w:cs="Times New Roman"/>
          <w:sz w:val="24"/>
          <w:szCs w:val="24"/>
        </w:rPr>
        <w:br/>
        <w:t>w perspektywie finansowej 2014-2020).</w:t>
      </w:r>
    </w:p>
    <w:p w:rsidR="008C6DA0" w:rsidRPr="00E91351" w:rsidRDefault="008C6DA0" w:rsidP="008C6DA0">
      <w:pPr>
        <w:pStyle w:val="Tekstpodstawowy2"/>
        <w:shd w:val="clear" w:color="auto" w:fill="auto"/>
        <w:spacing w:before="0" w:after="64"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Wytyczne te nie mają jednak zastosowania do przypadków nadużycia finansowego lub podejrzenia popełnienia nadużycia finansowego oraz nieprawidłowości poprzedzających upadłość beneficjenta.</w:t>
      </w:r>
    </w:p>
    <w:p w:rsidR="008C6DA0" w:rsidRPr="00E91351" w:rsidRDefault="008C6DA0" w:rsidP="008C6DA0">
      <w:pPr>
        <w:pStyle w:val="Tekstpodstawowy2"/>
        <w:shd w:val="clear" w:color="auto" w:fill="auto"/>
        <w:spacing w:before="0" w:after="64" w:line="269" w:lineRule="exact"/>
        <w:ind w:right="20" w:firstLine="0"/>
        <w:jc w:val="both"/>
        <w:rPr>
          <w:rFonts w:ascii="Times New Roman" w:hAnsi="Times New Roman" w:cs="Times New Roman"/>
          <w:b/>
          <w:sz w:val="24"/>
          <w:szCs w:val="24"/>
        </w:rPr>
      </w:pPr>
      <w:r w:rsidRPr="00E91351">
        <w:rPr>
          <w:rStyle w:val="BodytextBold"/>
          <w:rFonts w:ascii="Times New Roman" w:hAnsi="Times New Roman" w:cs="Times New Roman"/>
          <w:b w:val="0"/>
          <w:sz w:val="24"/>
          <w:szCs w:val="24"/>
        </w:rPr>
        <w:t xml:space="preserve">Wszystkie nieprawidłowości niepodlegające zgłoszeniu do KE (poniżej progu finansowego, </w:t>
      </w:r>
      <w:r w:rsidRPr="00E91351">
        <w:rPr>
          <w:rStyle w:val="BodytextBold"/>
          <w:rFonts w:ascii="Times New Roman" w:hAnsi="Times New Roman" w:cs="Times New Roman"/>
          <w:b w:val="0"/>
          <w:sz w:val="24"/>
          <w:szCs w:val="24"/>
        </w:rPr>
        <w:br/>
        <w:t xml:space="preserve">o którym mowa w R3), które były przedmiotem wstępnego ustalenia administracyjnego lub sądowego w danym kwartale, podlegają obowiązkowi zgłoszenia przez instytucje pośredniczące do IZ w formie kwartalnych zestawień nieprawidłowości niepodlegających raportowaniu do KE (zgodnie z załącznikami nr 2 i 3 tj. </w:t>
      </w:r>
      <w:r w:rsidRPr="00E91351">
        <w:rPr>
          <w:rFonts w:ascii="Times New Roman" w:hAnsi="Times New Roman" w:cs="Times New Roman"/>
          <w:sz w:val="24"/>
          <w:szCs w:val="24"/>
        </w:rPr>
        <w:t>ZN-1/446</w:t>
      </w:r>
      <w:r w:rsidRPr="00E91351">
        <w:rPr>
          <w:rStyle w:val="BodytextBold"/>
          <w:rFonts w:ascii="Times New Roman" w:hAnsi="Times New Roman" w:cs="Times New Roman"/>
          <w:b w:val="0"/>
          <w:sz w:val="24"/>
          <w:szCs w:val="24"/>
        </w:rPr>
        <w:t xml:space="preserve"> oraz </w:t>
      </w:r>
      <w:r w:rsidRPr="00E91351">
        <w:rPr>
          <w:rFonts w:ascii="Times New Roman" w:hAnsi="Times New Roman" w:cs="Times New Roman"/>
          <w:sz w:val="24"/>
          <w:szCs w:val="24"/>
        </w:rPr>
        <w:t>I-1/446</w:t>
      </w:r>
      <w:r w:rsidRPr="00E91351">
        <w:rPr>
          <w:rStyle w:val="BodytextBold"/>
          <w:rFonts w:ascii="Times New Roman" w:hAnsi="Times New Roman" w:cs="Times New Roman"/>
          <w:b w:val="0"/>
          <w:sz w:val="24"/>
          <w:szCs w:val="24"/>
        </w:rPr>
        <w:t xml:space="preserve">  przekazywanych do IRII w wersji papierowej oraz elektronicznej, do 45 dnia od zakończenia kwartału, w którym nieprawidłowość była </w:t>
      </w:r>
      <w:r w:rsidRPr="00E91351">
        <w:rPr>
          <w:rStyle w:val="BodytextBold"/>
          <w:rFonts w:ascii="Times New Roman" w:hAnsi="Times New Roman" w:cs="Times New Roman"/>
          <w:b w:val="0"/>
          <w:sz w:val="24"/>
          <w:szCs w:val="24"/>
        </w:rPr>
        <w:lastRenderedPageBreak/>
        <w:t xml:space="preserve">przedmiotem pierwszego ustalenia administracyjnego lub sądowego. </w:t>
      </w:r>
      <w:r w:rsidRPr="00E91351">
        <w:rPr>
          <w:rStyle w:val="BodytextBold"/>
          <w:rFonts w:ascii="Times New Roman" w:hAnsi="Times New Roman" w:cs="Times New Roman"/>
          <w:sz w:val="24"/>
          <w:szCs w:val="24"/>
        </w:rPr>
        <w:t>W przypadku braku nieprawidłowości niepodlegających zgłoszeniu do KE w danym kwartale, instytucje pośredniczące informują o tym IZ w wersji papierowej (do 45 dni od zakończenia danego kwartału).</w:t>
      </w:r>
    </w:p>
    <w:p w:rsidR="008C6DA0" w:rsidRPr="00E91351" w:rsidRDefault="008C6DA0" w:rsidP="008C6DA0">
      <w:pPr>
        <w:rPr>
          <w:b/>
          <w:u w:val="single"/>
        </w:rPr>
      </w:pPr>
      <w:r w:rsidRPr="00E91351">
        <w:rPr>
          <w:b/>
          <w:u w:val="single"/>
        </w:rPr>
        <w:t>R.3 Nieprawidłowości podlegające zgłoszeniu do KE</w:t>
      </w:r>
    </w:p>
    <w:p w:rsidR="008C6DA0" w:rsidRPr="00E91351" w:rsidRDefault="008C6DA0" w:rsidP="008C6DA0">
      <w:pPr>
        <w:jc w:val="both"/>
        <w:rPr>
          <w:bCs/>
          <w:iCs/>
          <w:u w:val="single"/>
          <w:lang w:val="pl"/>
        </w:rPr>
      </w:pPr>
      <w:bookmarkStart w:id="19" w:name="bookmark44"/>
      <w:r w:rsidRPr="00E91351">
        <w:rPr>
          <w:bCs/>
          <w:iCs/>
          <w:u w:val="single"/>
          <w:lang w:val="pl"/>
        </w:rPr>
        <w:t xml:space="preserve">Zgłoszeniu do KE podlegają wszystkie nieprawidłowości, które były przedmiotem pierwszego ustalenia administracyjnego lub sądowego, w przypadku gdy wkład funduszy UE w kwocie nieprawidłowości przekracza próg 10 tys. Euro z wyłączeniem sytuacji wskazanych </w:t>
      </w:r>
      <w:r w:rsidRPr="00E91351">
        <w:rPr>
          <w:bCs/>
          <w:iCs/>
          <w:u w:val="single"/>
          <w:lang w:val="pl"/>
        </w:rPr>
        <w:br/>
        <w:t>w R2.</w:t>
      </w:r>
      <w:bookmarkEnd w:id="19"/>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Nieprawidłowości stwierdzone w danym kwartale, pomiędzy którymi występuje współzależność (np. dotyczące tego samego podmiotu gospodarczego lub tego samego projektu należy przekazywać do KE w jednym zgłoszeniu, jeżeli taki (łączny) przypadek podlega zgłoszeniu do KE, czyli jeżeli wkład UE obliczony dla łącznej kwoty nieprawidłowości przekracza ww. próg. Dodatkowo, zasady dotyczące wyjątków stosuje się odpowiednio - do całego zgłoszenia. Jednakże, w drodze odstępstwa, gdy każda z ww. nieprawidłowości oddzielnie kwalifikuje się do zgłoszenia, można zgłosić je do KE oddzielnie.</w:t>
      </w:r>
    </w:p>
    <w:p w:rsidR="008C6DA0" w:rsidRPr="00E91351" w:rsidRDefault="008C6DA0" w:rsidP="008C6DA0">
      <w:pPr>
        <w:pStyle w:val="Tekstpodstawowy2"/>
        <w:shd w:val="clear" w:color="auto" w:fill="auto"/>
        <w:spacing w:before="0" w:after="107"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Zalecenie to dotyczy wyłącznie przypadków podlegających zgłoszeniu przez jedną instytucję inicjującą.</w:t>
      </w:r>
    </w:p>
    <w:p w:rsidR="008C6DA0" w:rsidRPr="00E91351" w:rsidRDefault="008C6DA0" w:rsidP="008C6DA0">
      <w:pPr>
        <w:pStyle w:val="Tekstpodstawowy2"/>
        <w:shd w:val="clear" w:color="auto" w:fill="auto"/>
        <w:spacing w:before="0" w:after="37" w:line="210" w:lineRule="exact"/>
        <w:ind w:firstLine="0"/>
        <w:jc w:val="both"/>
        <w:rPr>
          <w:rFonts w:ascii="Times New Roman" w:hAnsi="Times New Roman" w:cs="Times New Roman"/>
          <w:sz w:val="24"/>
          <w:szCs w:val="24"/>
        </w:rPr>
      </w:pPr>
      <w:r w:rsidRPr="00E91351">
        <w:rPr>
          <w:rFonts w:ascii="Times New Roman" w:hAnsi="Times New Roman" w:cs="Times New Roman"/>
          <w:sz w:val="24"/>
          <w:szCs w:val="24"/>
        </w:rPr>
        <w:t>Ponadto, należy informować KE o nieprawidłowościach, gdy:</w:t>
      </w:r>
    </w:p>
    <w:p w:rsidR="008C6DA0" w:rsidRPr="00E91351" w:rsidRDefault="008C6DA0" w:rsidP="008C6DA0">
      <w:pPr>
        <w:pStyle w:val="Tekstpodstawowy2"/>
        <w:numPr>
          <w:ilvl w:val="0"/>
          <w:numId w:val="8"/>
        </w:numPr>
        <w:shd w:val="clear" w:color="auto" w:fill="auto"/>
        <w:tabs>
          <w:tab w:val="left" w:pos="1562"/>
        </w:tabs>
        <w:spacing w:before="0" w:after="0" w:line="312" w:lineRule="exact"/>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wpłynął pisemny wniosek KE o informację dotyczącą danej nieprawidłowości lub grupy nieprawidłowości;</w:t>
      </w:r>
    </w:p>
    <w:p w:rsidR="008C6DA0" w:rsidRPr="00E91351" w:rsidRDefault="008C6DA0" w:rsidP="008C6DA0">
      <w:pPr>
        <w:pStyle w:val="Tekstpodstawowy2"/>
        <w:numPr>
          <w:ilvl w:val="0"/>
          <w:numId w:val="8"/>
        </w:numPr>
        <w:shd w:val="clear" w:color="auto" w:fill="auto"/>
        <w:tabs>
          <w:tab w:val="left" w:pos="1572"/>
        </w:tabs>
        <w:spacing w:before="0" w:after="0" w:line="312" w:lineRule="exact"/>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nieprawidłowość może mieć następstwa poza terytorium Rzeczypospolitej Polskiej - tzw.</w:t>
      </w:r>
      <w:r w:rsidRPr="00E91351">
        <w:rPr>
          <w:rStyle w:val="BodytextBold"/>
          <w:rFonts w:ascii="Times New Roman" w:hAnsi="Times New Roman" w:cs="Times New Roman"/>
          <w:sz w:val="24"/>
          <w:szCs w:val="24"/>
        </w:rPr>
        <w:t xml:space="preserve"> przypadek szczególny</w:t>
      </w:r>
      <w:r w:rsidRPr="00E91351">
        <w:rPr>
          <w:rFonts w:ascii="Times New Roman" w:hAnsi="Times New Roman" w:cs="Times New Roman"/>
          <w:sz w:val="24"/>
          <w:szCs w:val="24"/>
        </w:rPr>
        <w:t xml:space="preserve"> (niezależnie od wysokości wkładu UE).</w:t>
      </w:r>
    </w:p>
    <w:p w:rsidR="008C6DA0" w:rsidRPr="00E91351" w:rsidRDefault="008C6DA0" w:rsidP="008C6DA0">
      <w:pPr>
        <w:pStyle w:val="Tekstpodstawowy2"/>
        <w:shd w:val="clear" w:color="auto" w:fill="auto"/>
        <w:spacing w:before="234" w:after="32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Po oszacowaniu pełnej kwoty nieprawidłowości, jako sumy faktycznej oraz potencjalnej szkody, następuje wyliczenie wkładu UE dla tej kwoty. Do wyliczenia kwoty wkładu UE stosuje się taką samą stopę współfinansowania, jak w rozliczeniach z beneficjentem, tj.: 85%. Wielkość wkładu UE jest kluczowa dla procesu, gdyż - poprzez odniesienie do progu - determinuje obowiązek zgłoszenia danego przypadku do KE.</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b/>
          <w:sz w:val="24"/>
          <w:szCs w:val="24"/>
        </w:rPr>
      </w:pPr>
      <w:r w:rsidRPr="00E91351">
        <w:rPr>
          <w:rFonts w:ascii="Times New Roman" w:hAnsi="Times New Roman" w:cs="Times New Roman"/>
          <w:b/>
          <w:sz w:val="24"/>
          <w:szCs w:val="24"/>
        </w:rPr>
        <w:t>Przypadki szczególne.</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Właściwa instytucja jest zobowiązana do</w:t>
      </w:r>
      <w:r w:rsidRPr="00E91351">
        <w:rPr>
          <w:rStyle w:val="BodytextBold"/>
          <w:rFonts w:ascii="Times New Roman" w:hAnsi="Times New Roman" w:cs="Times New Roman"/>
          <w:sz w:val="24"/>
          <w:szCs w:val="24"/>
        </w:rPr>
        <w:t xml:space="preserve"> niezwłocznego</w:t>
      </w:r>
      <w:r w:rsidRPr="00E91351">
        <w:rPr>
          <w:rFonts w:ascii="Times New Roman" w:hAnsi="Times New Roman" w:cs="Times New Roman"/>
          <w:sz w:val="24"/>
          <w:szCs w:val="24"/>
        </w:rPr>
        <w:t xml:space="preserve"> zawiadomienia KE o każdym przypadku szczególnym, czyli o wykrytej nieprawidłowości (lub jej podejrzeniu), która może mieć następstwa poza terytorium Polski (niezależnie od wysokości wkładu UE).</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Zgłoszenie szczególne można wysłać przed zatwierdzeniem dokumentu przyjętego jako pierwsze ustalenie administracyjne lub sądowe, niezależnie od statusu płatności na rzecz beneficjenta, kwalifikacji, a także, gdy nie jest znana kwota nieprawidłowości.</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W sytuacji, gdy pierwsze ustalenie administracyjne lub sądowe zostało zatwierdzone przez właściwą instytucję oraz określona została kwota nieprawidłowości, w której wkład UE przekracza próg, zgłoszenie należy przekazać jako zgłoszenie inicjujące otwarte w systemie IMS, jeżeli przewiduje się dalszą aktualizację sprawy. W przeciwnym przypadku (zgłoszenie przekazywane przed zatwierdzeniem pierwsze ustalenie administracyjne lub sądowe), należy takie zgłoszenie przekazać jako zgłoszenie inicjujące zamykające.</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Właściwa instytucja przekazuje zgłoszenie szczególne do IZ niezwłocznie, jednak nie później, niż </w:t>
      </w:r>
      <w:r w:rsidRPr="00E91351">
        <w:rPr>
          <w:rFonts w:ascii="Times New Roman" w:hAnsi="Times New Roman" w:cs="Times New Roman"/>
          <w:sz w:val="24"/>
          <w:szCs w:val="24"/>
        </w:rPr>
        <w:br/>
        <w:t xml:space="preserve">w ciągu 25 dni kalendarzowych od daty powzięcia informacji o podejrzeniu nieprawidłowości </w:t>
      </w:r>
      <w:r w:rsidRPr="00E91351">
        <w:rPr>
          <w:rFonts w:ascii="Times New Roman" w:hAnsi="Times New Roman" w:cs="Times New Roman"/>
          <w:sz w:val="24"/>
          <w:szCs w:val="24"/>
        </w:rPr>
        <w:br/>
        <w:t xml:space="preserve">a instytucja zarządzająca przekazuje zgłoszenie  do MF-R, i równocześnie zawiadamia MF-R o tym fakcie przekazując wiadomość na adres: </w:t>
      </w:r>
      <w:hyperlink r:id="rId12" w:history="1">
        <w:r w:rsidRPr="00E91351">
          <w:rPr>
            <w:rStyle w:val="Hipercze"/>
            <w:rFonts w:ascii="Times New Roman" w:hAnsi="Times New Roman" w:cs="Times New Roman"/>
            <w:sz w:val="24"/>
            <w:szCs w:val="24"/>
          </w:rPr>
          <w:t>IMS@mf.gov.pl</w:t>
        </w:r>
      </w:hyperlink>
      <w:r w:rsidRPr="00E91351">
        <w:rPr>
          <w:rFonts w:ascii="Times New Roman" w:hAnsi="Times New Roman" w:cs="Times New Roman"/>
          <w:sz w:val="24"/>
          <w:szCs w:val="24"/>
        </w:rPr>
        <w:t>.</w:t>
      </w:r>
    </w:p>
    <w:p w:rsidR="008C6DA0" w:rsidRPr="00E91351" w:rsidRDefault="008C6DA0" w:rsidP="008C6DA0">
      <w:pPr>
        <w:pStyle w:val="Tekstpodstawowy2"/>
        <w:shd w:val="clear" w:color="auto" w:fill="auto"/>
        <w:spacing w:before="0" w:after="387"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Instytucja inicjująca jest odpowiedzialna za prawidłowość sporządzenia zgłoszenia oraz kompletność </w:t>
      </w:r>
      <w:r w:rsidRPr="00E91351">
        <w:rPr>
          <w:rFonts w:ascii="Times New Roman" w:hAnsi="Times New Roman" w:cs="Times New Roman"/>
          <w:sz w:val="24"/>
          <w:szCs w:val="24"/>
        </w:rPr>
        <w:br/>
        <w:t>i prawdziwość zawartych w nim informacji. MF-R odpowiada za ocenę zasadności niezwłocznego zgłoszenia do KE.</w:t>
      </w:r>
    </w:p>
    <w:p w:rsidR="008C6DA0" w:rsidRPr="00E91351" w:rsidRDefault="008C6DA0" w:rsidP="008C6DA0">
      <w:pPr>
        <w:jc w:val="both"/>
      </w:pPr>
      <w:r w:rsidRPr="00E91351">
        <w:lastRenderedPageBreak/>
        <w:t>Proces rozpatrywania nieprawidłowości może zakończyć się w następujący sposób:</w:t>
      </w:r>
    </w:p>
    <w:p w:rsidR="008C6DA0" w:rsidRPr="00E91351" w:rsidRDefault="008C6DA0" w:rsidP="008C6DA0">
      <w:pPr>
        <w:jc w:val="both"/>
      </w:pPr>
    </w:p>
    <w:p w:rsidR="008C6DA0" w:rsidRPr="00E91351" w:rsidRDefault="008C6DA0" w:rsidP="008C6DA0">
      <w:pPr>
        <w:numPr>
          <w:ilvl w:val="0"/>
          <w:numId w:val="3"/>
        </w:numPr>
        <w:tabs>
          <w:tab w:val="clear" w:pos="720"/>
          <w:tab w:val="num" w:pos="284"/>
        </w:tabs>
        <w:ind w:left="284" w:hanging="284"/>
        <w:jc w:val="both"/>
      </w:pPr>
      <w:r w:rsidRPr="00E91351">
        <w:t xml:space="preserve">w przypadku, gdy podejrzenie wystąpienia nieprawidłowości nie zostało potwierdzone </w:t>
      </w:r>
      <w:r w:rsidRPr="00E91351">
        <w:br/>
        <w:t>w postępowaniu wyjaśniającym – umorzenie postępowania.</w:t>
      </w:r>
    </w:p>
    <w:p w:rsidR="008C6DA0" w:rsidRPr="00E91351" w:rsidRDefault="008C6DA0" w:rsidP="008C6DA0">
      <w:pPr>
        <w:tabs>
          <w:tab w:val="num" w:pos="284"/>
        </w:tabs>
        <w:ind w:left="720" w:hanging="720"/>
        <w:jc w:val="both"/>
      </w:pPr>
    </w:p>
    <w:p w:rsidR="008C6DA0" w:rsidRPr="00E91351" w:rsidRDefault="008C6DA0" w:rsidP="008C6DA0">
      <w:pPr>
        <w:numPr>
          <w:ilvl w:val="0"/>
          <w:numId w:val="3"/>
        </w:numPr>
        <w:tabs>
          <w:tab w:val="clear" w:pos="720"/>
          <w:tab w:val="num" w:pos="284"/>
        </w:tabs>
        <w:ind w:hanging="720"/>
        <w:jc w:val="both"/>
      </w:pPr>
      <w:r w:rsidRPr="00E91351">
        <w:t>stwierdzeniem wystąpienia nieprawidłowości – wówczas może nastąpić np.:</w:t>
      </w:r>
    </w:p>
    <w:p w:rsidR="008C6DA0" w:rsidRPr="00E91351" w:rsidRDefault="008C6DA0" w:rsidP="008C6DA0">
      <w:pPr>
        <w:numPr>
          <w:ilvl w:val="0"/>
          <w:numId w:val="4"/>
        </w:numPr>
        <w:ind w:left="703" w:hanging="357"/>
        <w:jc w:val="both"/>
        <w:rPr>
          <w:rFonts w:eastAsia="Calibri"/>
          <w:lang w:eastAsia="en-US"/>
        </w:rPr>
      </w:pPr>
      <w:r w:rsidRPr="00E91351">
        <w:rPr>
          <w:rFonts w:eastAsia="Calibri"/>
          <w:lang w:eastAsia="en-US"/>
        </w:rPr>
        <w:t>odmowa przyznania pomocy/odmowa wypłaty pomocy,</w:t>
      </w:r>
    </w:p>
    <w:p w:rsidR="008C6DA0" w:rsidRPr="00E91351" w:rsidRDefault="008C6DA0" w:rsidP="008C6DA0">
      <w:pPr>
        <w:numPr>
          <w:ilvl w:val="0"/>
          <w:numId w:val="4"/>
        </w:numPr>
        <w:ind w:left="703" w:hanging="357"/>
        <w:jc w:val="both"/>
        <w:rPr>
          <w:rFonts w:eastAsia="Calibri"/>
          <w:lang w:eastAsia="en-US"/>
        </w:rPr>
      </w:pPr>
      <w:r w:rsidRPr="00E91351">
        <w:rPr>
          <w:rFonts w:eastAsia="Calibri"/>
          <w:lang w:eastAsia="en-US"/>
        </w:rPr>
        <w:t>zmniejszenie wysokości pomocy,</w:t>
      </w:r>
    </w:p>
    <w:p w:rsidR="008C6DA0" w:rsidRPr="00E91351" w:rsidRDefault="008C6DA0" w:rsidP="008C6DA0">
      <w:pPr>
        <w:numPr>
          <w:ilvl w:val="0"/>
          <w:numId w:val="4"/>
        </w:numPr>
        <w:ind w:left="703" w:hanging="357"/>
        <w:jc w:val="both"/>
        <w:rPr>
          <w:rFonts w:eastAsia="Calibri"/>
          <w:lang w:eastAsia="en-US"/>
        </w:rPr>
      </w:pPr>
      <w:r w:rsidRPr="00E91351">
        <w:rPr>
          <w:rFonts w:eastAsia="Calibri"/>
          <w:lang w:eastAsia="en-US"/>
        </w:rPr>
        <w:t>wszczęcie procedury windykacyjnej,</w:t>
      </w:r>
    </w:p>
    <w:p w:rsidR="008C6DA0" w:rsidRPr="00E91351" w:rsidRDefault="008C6DA0" w:rsidP="008C6DA0">
      <w:pPr>
        <w:numPr>
          <w:ilvl w:val="0"/>
          <w:numId w:val="4"/>
        </w:numPr>
        <w:ind w:left="703" w:hanging="357"/>
        <w:jc w:val="both"/>
        <w:rPr>
          <w:rFonts w:eastAsia="Calibri"/>
          <w:lang w:eastAsia="en-US"/>
        </w:rPr>
      </w:pPr>
      <w:r w:rsidRPr="00E91351">
        <w:rPr>
          <w:rFonts w:eastAsia="Calibri"/>
          <w:lang w:eastAsia="en-US"/>
        </w:rPr>
        <w:t>wykluczenie z pomocy finansowej,</w:t>
      </w:r>
    </w:p>
    <w:p w:rsidR="008C6DA0" w:rsidRPr="00E91351" w:rsidRDefault="008C6DA0" w:rsidP="008C6DA0">
      <w:pPr>
        <w:numPr>
          <w:ilvl w:val="0"/>
          <w:numId w:val="4"/>
        </w:numPr>
        <w:ind w:left="703" w:hanging="357"/>
        <w:jc w:val="both"/>
        <w:rPr>
          <w:rFonts w:eastAsia="Calibri"/>
          <w:lang w:eastAsia="en-US"/>
        </w:rPr>
      </w:pPr>
      <w:r w:rsidRPr="00E91351">
        <w:rPr>
          <w:rFonts w:eastAsia="Calibri"/>
          <w:lang w:eastAsia="en-US"/>
        </w:rPr>
        <w:t>skierowanie sprawy do organów ścigania – w przypadku podejrzenia popełnienia przestępstwa.</w:t>
      </w:r>
    </w:p>
    <w:p w:rsidR="008C6DA0" w:rsidRPr="00E91351" w:rsidRDefault="008C6DA0" w:rsidP="008C6DA0">
      <w:pPr>
        <w:ind w:left="900" w:hanging="192"/>
        <w:jc w:val="both"/>
      </w:pPr>
    </w:p>
    <w:p w:rsidR="008C6DA0" w:rsidRPr="00E91351" w:rsidRDefault="008C6DA0" w:rsidP="008C6DA0">
      <w:pPr>
        <w:jc w:val="both"/>
      </w:pPr>
      <w:r w:rsidRPr="00E91351">
        <w:t xml:space="preserve">Wyniki przeprowadzonej kontroli na miejscu każdorazowo należy przeanalizować pod kątem wystąpienia nieprawidłowości/nieprawidłowości systemowej, w celu ustalenia, czy napotkane problemy mają charakter systemowy, pociągający za sobą ryzyko dla innych podobnych operacji, beneficjentów lub innych podmiotów. O zidentyfikowanych w wyniku przeprowadzonych kontroli na miejscu nieprawidłowościach/nieprawidłowościach systemowych należy niezwłocznie poinformować IZ oraz podjąć działania zmierzające do ich usunięcia. </w:t>
      </w:r>
    </w:p>
    <w:p w:rsidR="008C6DA0" w:rsidRPr="00E91351" w:rsidRDefault="008C6DA0" w:rsidP="008C6DA0">
      <w:pPr>
        <w:jc w:val="both"/>
      </w:pPr>
    </w:p>
    <w:p w:rsidR="008C6DA0" w:rsidRDefault="008C6DA0" w:rsidP="008C6DA0">
      <w:pPr>
        <w:jc w:val="both"/>
      </w:pPr>
      <w:r w:rsidRPr="00E91351">
        <w:t xml:space="preserve">Po rozpatrzeniu sprawy w zakresie wyjaśniania i stwierdzania nieprawidłowości należy niezwłocznie (najpóźniej w dniu następującym po dniu w którym zatwierdzono K-1/446) przekazać sprawę/informacje do pracownika odpowiedzialnego za ewidencjonowanie nieprawidłowości. </w:t>
      </w:r>
    </w:p>
    <w:p w:rsidR="004D7580" w:rsidRPr="00E91351" w:rsidRDefault="004D7580" w:rsidP="008C6DA0">
      <w:pPr>
        <w:jc w:val="both"/>
      </w:pPr>
    </w:p>
    <w:p w:rsidR="008C6DA0" w:rsidRPr="00E91351" w:rsidRDefault="008C6DA0" w:rsidP="008C6DA0">
      <w:pPr>
        <w:jc w:val="both"/>
      </w:pPr>
      <w:r w:rsidRPr="00E91351">
        <w:rPr>
          <w:b/>
          <w:bCs/>
          <w:iCs/>
          <w:u w:val="single"/>
          <w:lang w:val="pl"/>
        </w:rPr>
        <w:t xml:space="preserve">R.4 </w:t>
      </w:r>
      <w:r w:rsidRPr="00E91351">
        <w:rPr>
          <w:bCs/>
          <w:iCs/>
          <w:lang w:val="pl"/>
        </w:rPr>
        <w:t>W ramach P</w:t>
      </w:r>
      <w:r w:rsidRPr="00E91351">
        <w:t xml:space="preserve">riorytetu 4 „Zwiększenie zatrudnienia i spójności terytorialnej” zawartego </w:t>
      </w:r>
      <w:r w:rsidRPr="00E91351">
        <w:br/>
        <w:t>w Programie Operacyjnym „Rybactwo i Morze” pomoc nie przysługuje podmiotowi:</w:t>
      </w:r>
    </w:p>
    <w:p w:rsidR="008C6DA0" w:rsidRPr="00E91351" w:rsidRDefault="008C6DA0" w:rsidP="008C6DA0">
      <w:pPr>
        <w:pStyle w:val="Akapitzlist"/>
        <w:numPr>
          <w:ilvl w:val="0"/>
          <w:numId w:val="16"/>
        </w:numPr>
        <w:spacing w:before="0" w:after="160" w:line="259" w:lineRule="auto"/>
        <w:jc w:val="both"/>
        <w:rPr>
          <w:szCs w:val="24"/>
        </w:rPr>
      </w:pPr>
      <w:r w:rsidRPr="00E91351">
        <w:rPr>
          <w:bCs/>
          <w:iCs/>
          <w:szCs w:val="24"/>
          <w:lang w:val="pl"/>
        </w:rPr>
        <w:t xml:space="preserve">wobec którego został orzeczony prawomocnym wyrokiem sądu zakaz dostępu do środków, </w:t>
      </w:r>
      <w:r w:rsidRPr="00E91351">
        <w:rPr>
          <w:bCs/>
          <w:iCs/>
          <w:szCs w:val="24"/>
          <w:lang w:val="pl"/>
        </w:rPr>
        <w:br/>
        <w:t xml:space="preserve">o których mowa w art. 5 ust. 3 pkt 1 ustawy z dnia 27 sierpnia 2009 r. o finansach publicznych (Dz. U. z 2017 r. Poz 2077, oraz z 2018 r. poz. 62) </w:t>
      </w:r>
      <w:r w:rsidRPr="00E91351">
        <w:t>zakaz korzystania z dotacji, subwencji lub innych form wsparcia finansowego środkami publicznymi lub zakaz ubiegania się o zamówienia publiczne”, zgodnie z brzmieniem art. 12 pkt 1 ustawy z dnia 10 lipca 2015 r. o wspieraniu zrównoważonego rozwoju sektora rybackiego z udziałem Europejskiego Funduszu Morskiego i Rybackiego (Dz.U. z 2017 r. poz. 1267).</w:t>
      </w:r>
    </w:p>
    <w:p w:rsidR="008C6DA0" w:rsidRPr="00E91351" w:rsidRDefault="008C6DA0" w:rsidP="008C6DA0">
      <w:pPr>
        <w:pStyle w:val="Akapitzlist"/>
        <w:numPr>
          <w:ilvl w:val="0"/>
          <w:numId w:val="15"/>
        </w:numPr>
        <w:jc w:val="both"/>
        <w:rPr>
          <w:bCs/>
          <w:iCs/>
          <w:szCs w:val="24"/>
          <w:lang w:val="pl"/>
        </w:rPr>
      </w:pPr>
      <w:r w:rsidRPr="00E91351">
        <w:rPr>
          <w:bCs/>
          <w:iCs/>
          <w:szCs w:val="24"/>
          <w:lang w:val="pl"/>
        </w:rPr>
        <w:t>wobec którego sąd ogłosił upadłość;</w:t>
      </w:r>
    </w:p>
    <w:p w:rsidR="008C6DA0" w:rsidRPr="00E91351" w:rsidRDefault="008C6DA0" w:rsidP="008C6DA0">
      <w:pPr>
        <w:pStyle w:val="Akapitzlist"/>
        <w:numPr>
          <w:ilvl w:val="0"/>
          <w:numId w:val="15"/>
        </w:numPr>
        <w:jc w:val="both"/>
        <w:rPr>
          <w:bCs/>
          <w:iCs/>
          <w:szCs w:val="24"/>
          <w:lang w:val="pl"/>
        </w:rPr>
      </w:pPr>
      <w:r w:rsidRPr="00E91351">
        <w:rPr>
          <w:bCs/>
          <w:iCs/>
          <w:szCs w:val="24"/>
          <w:lang w:val="pl"/>
        </w:rPr>
        <w:t xml:space="preserve">który został wpisany do rejestru podmiotów wykluczonych, zgodnie z art. 210 ust. 1 ustawy z dnia 27 sierpnia 2009 r. o finansach publicznych, lub rejestru naruszeń, o którym mowa </w:t>
      </w:r>
      <w:r w:rsidRPr="00E91351">
        <w:rPr>
          <w:bCs/>
          <w:iCs/>
          <w:szCs w:val="24"/>
          <w:lang w:val="pl"/>
        </w:rPr>
        <w:br/>
        <w:t>w art. 80 ustawy z dnia 19 grudnia 2014 r. o rybołówstwie morskim (Dz. U. 2015 r. poz. 222).</w:t>
      </w:r>
    </w:p>
    <w:p w:rsidR="008C6DA0" w:rsidRPr="00E91351" w:rsidRDefault="008C6DA0" w:rsidP="008C6DA0">
      <w:pPr>
        <w:ind w:left="360"/>
        <w:jc w:val="both"/>
      </w:pPr>
      <w:r w:rsidRPr="00E91351">
        <w:rPr>
          <w:bCs/>
          <w:iCs/>
          <w:u w:val="single"/>
          <w:lang w:val="pl"/>
        </w:rPr>
        <w:t xml:space="preserve">Jeśli </w:t>
      </w:r>
      <w:r w:rsidRPr="00E91351">
        <w:t>w wyniku przeprowadzonego postępowania wyjaśniającego w sprawie podejrzenia wystąpienia nieprawidłowości podczas realizacji operacji, zgodnie ze wskazaniami niniejszej książki, w ramach działań Priorytetu 4 objętego Programem Rybactwo i Morze, potwierdzono wystąpienie nieprawidłowości wówczas należy o tym fakcie pisemnie poinformować Beneficjenta i w zakresie zwrotu kwoty pomocy należy postępować godnie z zapisami książki procedur KP-611-449-ARiMR „Sporządzanie i poprawa dokumentów finansowo-księgowych oraz ustalanie, nienależnie, nadmiernie pobranych środków publicznych w ramach Priorytetu 4 „Zwiększenie zatrudnienia i spójności terytorialnej”, zawartego w Programie Operacyjnym „Rybactwo i Morze”.</w:t>
      </w:r>
    </w:p>
    <w:p w:rsidR="008C6DA0" w:rsidRPr="00E91351" w:rsidRDefault="008C6DA0" w:rsidP="008C6DA0">
      <w:pPr>
        <w:jc w:val="both"/>
        <w:rPr>
          <w:bCs/>
          <w:iCs/>
        </w:rPr>
      </w:pPr>
    </w:p>
    <w:p w:rsidR="008C6DA0" w:rsidRPr="00E91351" w:rsidRDefault="008C6DA0" w:rsidP="008C6DA0">
      <w:pPr>
        <w:jc w:val="both"/>
        <w:rPr>
          <w:bCs/>
          <w:iCs/>
        </w:rPr>
      </w:pPr>
    </w:p>
    <w:p w:rsidR="008C6DA0" w:rsidRPr="00E91351" w:rsidRDefault="008C6DA0" w:rsidP="008C6DA0">
      <w:pPr>
        <w:jc w:val="both"/>
        <w:rPr>
          <w:b/>
          <w:bCs/>
          <w:iCs/>
          <w:u w:val="single"/>
          <w:lang w:val="pl"/>
        </w:rPr>
      </w:pPr>
      <w:r w:rsidRPr="00E91351">
        <w:rPr>
          <w:b/>
          <w:bCs/>
          <w:iCs/>
          <w:u w:val="single"/>
          <w:lang w:val="pl"/>
        </w:rPr>
        <w:t>R.5 Anulowanie nieprawidłowości</w:t>
      </w:r>
    </w:p>
    <w:p w:rsidR="008C6DA0" w:rsidRPr="00E91351" w:rsidRDefault="008C6DA0" w:rsidP="008C6DA0">
      <w:pPr>
        <w:pStyle w:val="Tekstpodstawowy2"/>
        <w:shd w:val="clear" w:color="auto" w:fill="auto"/>
        <w:spacing w:before="0" w:after="56" w:line="264"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Stosownie do definicji pierwszego ustalenia administracyjnego lub sądowego, nieprawidłowość zgłoszoną do KE można anulować („wycofać") „w następstwie ustaleń dokonanych w trakcie </w:t>
      </w:r>
      <w:r w:rsidRPr="00E91351">
        <w:rPr>
          <w:rFonts w:ascii="Times New Roman" w:hAnsi="Times New Roman" w:cs="Times New Roman"/>
          <w:sz w:val="24"/>
          <w:szCs w:val="24"/>
        </w:rPr>
        <w:lastRenderedPageBreak/>
        <w:t>postępowania administracyjnego lub sądowego". W związku z powyższym, jeżeli prowadzone postępowania nie potwierdziły występowania nieprawidłowości (właściwa instytucja zapewnia, że nie doszło do naruszenia przepisów wskazanych we wcześniejszych zgłoszeniach), należy sporządzić zgłoszenie anulujące, w którym należy zamieścić uzasadnienie anulowania danego przypadku nieprawidłowości w systemie IMS.</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Odmowa wszczęcia lub umorzenie postępowania prowadzonego przez organy ścigania lub organy wymiaru sprawiedliwości na skutek powiadomienia przez właściwą instytucję nie powinny być automatyczną podstawą dla anulowania. W każdym przypadku, po otrzymaniu decyzji ww. organów należy dokładnie zapoznać się z jej szczegółowym uzasadnieniem i na tej podstawie zdecydować </w:t>
      </w:r>
      <w:r w:rsidRPr="00E91351">
        <w:rPr>
          <w:rFonts w:ascii="Times New Roman" w:hAnsi="Times New Roman" w:cs="Times New Roman"/>
          <w:sz w:val="24"/>
          <w:szCs w:val="24"/>
        </w:rPr>
        <w:br/>
        <w:t xml:space="preserve">o kierunkach dalszego postępowania w sprawie. Odmowa wszczęcia lub umorzenie postępowania przez organy ścigania lub organy wymiaru sprawiedliwości, w tym również ze względu na brak potwierdzenia nadużycia finansowego, nie wyklucza występowania nieprawidłowości, a jedynie odnosi się do kwestii odpowiedzialności karnej za ww. czyn i nie zwalnia właściwej instytucji od dalszego wyjaśniania sprawy. Dodatkowo, sytuacje w których postępowanie karne zostało umorzone z powodu niewykrycia sprawcy lub niskiej szkodliwości społecznej, należy nadal kwalifikować jako podejrzenie popełnienia nadużycia finansowego (w tych szczególnych przypadkach sprawę </w:t>
      </w:r>
      <w:r w:rsidRPr="00E91351">
        <w:rPr>
          <w:rFonts w:ascii="Times New Roman" w:hAnsi="Times New Roman" w:cs="Times New Roman"/>
          <w:sz w:val="24"/>
          <w:szCs w:val="24"/>
        </w:rPr>
        <w:br/>
        <w:t>z kwalifikacją podejrzenia nadużycia finansowego można również zamknąć).</w:t>
      </w:r>
    </w:p>
    <w:p w:rsidR="008C6DA0" w:rsidRPr="00E91351" w:rsidRDefault="008C6DA0" w:rsidP="008C6DA0">
      <w:pPr>
        <w:jc w:val="both"/>
        <w:rPr>
          <w:b/>
          <w:bCs/>
          <w:iCs/>
          <w:u w:val="single"/>
          <w:lang w:val="pl"/>
        </w:rPr>
      </w:pPr>
      <w:r w:rsidRPr="00E91351">
        <w:t>Nie jest zasadne anulowanie („wycofanie") w toku działań następczych przypadku potwierdzonej nieprawidłowości, uprzednio zgłoszonej do KE, z powodu zaliczenia jej na późniejszym etapie do przypadków niepodlegających zgłoszeniu do KE (o których mowa w R2). Analogicznie, nie ma uzasadnienia dla anulowania sprawy, po zmniejszeniu wysokości kwoty nieprawidłowości poniżej progu, o którym mowa w R.3.</w:t>
      </w:r>
    </w:p>
    <w:p w:rsidR="008C6DA0" w:rsidRPr="00E91351" w:rsidRDefault="008C6DA0" w:rsidP="008C6DA0">
      <w:pPr>
        <w:rPr>
          <w:b/>
          <w:iCs/>
          <w:u w:val="single"/>
        </w:rPr>
      </w:pPr>
      <w:r w:rsidRPr="00E91351">
        <w:rPr>
          <w:b/>
          <w:iCs/>
          <w:u w:val="single"/>
        </w:rPr>
        <w:t>R.6 Zamykanie sprawy</w:t>
      </w:r>
    </w:p>
    <w:p w:rsidR="008C6DA0" w:rsidRPr="00E91351" w:rsidRDefault="008C6DA0" w:rsidP="008C6DA0">
      <w:pPr>
        <w:pStyle w:val="Tekstpodstawowy2"/>
        <w:shd w:val="clear" w:color="auto" w:fill="auto"/>
        <w:spacing w:before="0" w:after="56" w:line="264"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Zgłoszenie zamykające przekazuje się po zakończeniu wszystkich postępowań: windykacyjnych (także uregulowania należności w wyniku wezwania do zwrotu), administracyjnych, dyscyplinarnych, karnych oraz sądowych prowadzonych w związku z uprzednio zgłoszoną nieprawidłowością. </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W zgłoszeniu zamykającym wskazuje się datę zamknięcia sprawy. W przypadku niemożności precyzyjnego ustalenia daty zakończenia postępowań w sprawie, dopuszczalne jest wskazanie daty końca kwartału, za który sporządzane jest zgłoszenie, lub bieżącej daty (w przypadku, gdy zgłoszenie przekazywane jest przed zakończeniem kwartału, którego dotyczy).</w:t>
      </w:r>
    </w:p>
    <w:p w:rsidR="008C6DA0" w:rsidRPr="00E91351" w:rsidRDefault="008C6DA0" w:rsidP="008C6DA0">
      <w:pPr>
        <w:pStyle w:val="Tekstpodstawowy2"/>
        <w:shd w:val="clear" w:color="auto" w:fill="auto"/>
        <w:spacing w:before="0" w:after="26"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KE dopuszcza możliwość </w:t>
      </w:r>
      <w:r w:rsidRPr="00E91351">
        <w:rPr>
          <w:rFonts w:ascii="Times New Roman" w:hAnsi="Times New Roman" w:cs="Times New Roman"/>
          <w:b/>
          <w:sz w:val="24"/>
          <w:szCs w:val="24"/>
        </w:rPr>
        <w:t>przekazywania zgłoszeń uzupełniających wysyłanych w celu aktualizacji</w:t>
      </w:r>
      <w:r w:rsidRPr="00E91351">
        <w:rPr>
          <w:rFonts w:ascii="Times New Roman" w:hAnsi="Times New Roman" w:cs="Times New Roman"/>
          <w:sz w:val="24"/>
          <w:szCs w:val="24"/>
        </w:rPr>
        <w:t xml:space="preserve"> sprawy. Następujące sytuacje zidentyfikowane w danym okresie sprawozdawczym mogą stanowić podstawę do decyzji IR o sporządzeniu zgłoszenia aktualizującego:</w:t>
      </w:r>
    </w:p>
    <w:p w:rsidR="008C6DA0" w:rsidRPr="00E91351" w:rsidRDefault="008C6DA0" w:rsidP="008C6DA0">
      <w:pPr>
        <w:pStyle w:val="Tekstpodstawowy2"/>
        <w:numPr>
          <w:ilvl w:val="0"/>
          <w:numId w:val="8"/>
        </w:numPr>
        <w:shd w:val="clear" w:color="auto" w:fill="auto"/>
        <w:tabs>
          <w:tab w:val="left" w:pos="1287"/>
        </w:tabs>
        <w:spacing w:before="0" w:after="0" w:line="240" w:lineRule="auto"/>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dostępne są istotne informacje (dotyczące kwalifikacji nieprawidłowości, kwoty nieprawidłowości, sankcji), które nie były znane w momencie przekazywania poprzedniego zgłoszenia,</w:t>
      </w:r>
    </w:p>
    <w:p w:rsidR="008C6DA0" w:rsidRPr="00E91351" w:rsidRDefault="008C6DA0" w:rsidP="008C6DA0">
      <w:pPr>
        <w:pStyle w:val="Tekstpodstawowy2"/>
        <w:numPr>
          <w:ilvl w:val="0"/>
          <w:numId w:val="8"/>
        </w:numPr>
        <w:shd w:val="clear" w:color="auto" w:fill="auto"/>
        <w:tabs>
          <w:tab w:val="left" w:pos="1292"/>
        </w:tabs>
        <w:spacing w:before="0" w:after="0" w:line="240" w:lineRule="auto"/>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należy dokonać korekty informacji istotnej dla KE (dotyczącej kwalifikacji nieprawidłowości, kwoty nieprawidłowości, sankcji),</w:t>
      </w:r>
    </w:p>
    <w:p w:rsidR="008C6DA0" w:rsidRPr="00E91351" w:rsidRDefault="008C6DA0" w:rsidP="008C6DA0">
      <w:pPr>
        <w:pStyle w:val="Tekstpodstawowy2"/>
        <w:numPr>
          <w:ilvl w:val="0"/>
          <w:numId w:val="8"/>
        </w:numPr>
        <w:shd w:val="clear" w:color="auto" w:fill="auto"/>
        <w:tabs>
          <w:tab w:val="left" w:pos="1292"/>
        </w:tabs>
        <w:spacing w:before="0" w:after="0" w:line="240" w:lineRule="auto"/>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nastąpiło wszczęcie, zakończenie lub umorzenie postępowań prowadzonych w celu nałożenia sankcji administracyjnych lub karnych w związku ze zgłoszoną nieprawidłowością,</w:t>
      </w:r>
    </w:p>
    <w:p w:rsidR="008C6DA0" w:rsidRPr="00E91351" w:rsidRDefault="008C6DA0" w:rsidP="008C6DA0">
      <w:pPr>
        <w:pStyle w:val="Tekstpodstawowy2"/>
        <w:numPr>
          <w:ilvl w:val="0"/>
          <w:numId w:val="8"/>
        </w:numPr>
        <w:shd w:val="clear" w:color="auto" w:fill="auto"/>
        <w:tabs>
          <w:tab w:val="left" w:pos="1282"/>
        </w:tabs>
        <w:spacing w:before="0" w:after="95" w:line="240" w:lineRule="auto"/>
        <w:ind w:left="360" w:right="20" w:hanging="360"/>
        <w:jc w:val="both"/>
        <w:rPr>
          <w:rFonts w:ascii="Times New Roman" w:hAnsi="Times New Roman" w:cs="Times New Roman"/>
          <w:sz w:val="24"/>
          <w:szCs w:val="24"/>
        </w:rPr>
      </w:pPr>
      <w:r w:rsidRPr="00E91351">
        <w:rPr>
          <w:rFonts w:ascii="Times New Roman" w:hAnsi="Times New Roman" w:cs="Times New Roman"/>
          <w:sz w:val="24"/>
          <w:szCs w:val="24"/>
        </w:rPr>
        <w:t>wpłynął pisemny wniosek KE o przedstawienie informacji dotyczącej konkretnej nieprawidłowości lub grupy nieprawidłowości, które uprzednio zostały zgłoszone do KE.</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Jeśli w okresie sprawozdawczym żadna z powyższych przesłanek nie wystąpi, zgłoszenia aktualizującego nie przekazuje się.</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p>
    <w:p w:rsidR="008C6DA0" w:rsidRPr="00E91351" w:rsidRDefault="008C6DA0" w:rsidP="008C6DA0">
      <w:pPr>
        <w:rPr>
          <w:b/>
          <w:iCs/>
          <w:u w:val="single"/>
        </w:rPr>
      </w:pPr>
      <w:r w:rsidRPr="00E91351">
        <w:rPr>
          <w:b/>
          <w:iCs/>
          <w:u w:val="single"/>
        </w:rPr>
        <w:t>R.7 Kurs przeliczeniowy stosowany w zgłoszeniach nieprawidłowości</w:t>
      </w:r>
    </w:p>
    <w:p w:rsidR="008C6DA0" w:rsidRPr="00E91351" w:rsidRDefault="008C6DA0" w:rsidP="008C6DA0">
      <w:pPr>
        <w:pStyle w:val="Tekstpodstawowy2"/>
        <w:shd w:val="clear" w:color="auto" w:fill="auto"/>
        <w:spacing w:before="0" w:after="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Zgodnie z wymogami KE, kwoty wprowadzane do zgłoszenia nieprawidłowości są denominowane w euro. Państwa członkowskie, które nie przyjęły euro jako swojego środka płatniczego, przeliczają kwoty w walucie krajowej na euro.</w:t>
      </w:r>
    </w:p>
    <w:p w:rsidR="008C6DA0" w:rsidRPr="00E91351" w:rsidRDefault="008C6DA0" w:rsidP="008C6DA0">
      <w:pPr>
        <w:pStyle w:val="akapitosobny"/>
        <w:rPr>
          <w:szCs w:val="24"/>
        </w:rPr>
      </w:pPr>
      <w:r w:rsidRPr="00E91351">
        <w:rPr>
          <w:szCs w:val="24"/>
        </w:rPr>
        <w:lastRenderedPageBreak/>
        <w:t xml:space="preserve">Do przeliczeń wydatków w PLN na EUR należy stosować miesięczny obrachunkowy kurs Komisji z miesiąca, w którym wydatki zostały zaksięgowane przez instytucję certyfikującą dla danego programu operacyjnego. </w:t>
      </w:r>
    </w:p>
    <w:p w:rsidR="008C6DA0" w:rsidRPr="00E91351" w:rsidRDefault="008C6DA0" w:rsidP="008C6DA0">
      <w:pPr>
        <w:pStyle w:val="akapitosobny"/>
        <w:rPr>
          <w:szCs w:val="24"/>
        </w:rPr>
      </w:pPr>
      <w:r w:rsidRPr="00E91351">
        <w:rPr>
          <w:szCs w:val="24"/>
        </w:rPr>
        <w:t>Kurs publikowany jest pod adresem:</w:t>
      </w:r>
    </w:p>
    <w:p w:rsidR="008C6DA0" w:rsidRPr="00E91351" w:rsidRDefault="008C6DA0" w:rsidP="008C6DA0">
      <w:pPr>
        <w:jc w:val="both"/>
      </w:pPr>
      <w:r w:rsidRPr="00E91351">
        <w:t>http://ec.europa.eu/budget/contracts_grants/info_contracts/inforeuro/index_en.cfm</w:t>
      </w:r>
    </w:p>
    <w:p w:rsidR="008C6DA0" w:rsidRPr="00E91351" w:rsidRDefault="008C6DA0" w:rsidP="008C6DA0">
      <w:pPr>
        <w:pStyle w:val="akapitosobny"/>
        <w:rPr>
          <w:szCs w:val="24"/>
        </w:rPr>
      </w:pPr>
      <w:r w:rsidRPr="00E91351">
        <w:rPr>
          <w:szCs w:val="24"/>
        </w:rPr>
        <w:t>Jeżeli wydatki nie zostały zaksięgowane przez instytucję certyfikującą, stosuje się ostatni aktualny obrachunkowy kurs wymiany opublikowany przez Komisję w mediach elektronicznych.</w:t>
      </w:r>
    </w:p>
    <w:p w:rsidR="008C6DA0" w:rsidRPr="00E91351" w:rsidRDefault="008C6DA0" w:rsidP="008C6DA0">
      <w:pPr>
        <w:rPr>
          <w:b/>
          <w:iCs/>
        </w:rPr>
      </w:pPr>
      <w:r w:rsidRPr="00E91351">
        <w:rPr>
          <w:b/>
          <w:iCs/>
        </w:rPr>
        <w:t>Ważne:</w:t>
      </w:r>
    </w:p>
    <w:p w:rsidR="008C6DA0" w:rsidRPr="00E91351" w:rsidRDefault="008C6DA0" w:rsidP="008C6DA0">
      <w:pPr>
        <w:pStyle w:val="Tekstpodstawowy2"/>
        <w:shd w:val="clear" w:color="auto" w:fill="auto"/>
        <w:spacing w:before="0" w:after="60" w:line="240" w:lineRule="auto"/>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Zgłoszenia przekazywane do KE za pomocą systemu IMS, podlegają szczególnej ochronie ze względu na zamieszczane w nich informacje wrażliwe, dotyczące m.in. danych osób fizycznych </w:t>
      </w:r>
      <w:r w:rsidRPr="00E91351">
        <w:rPr>
          <w:rFonts w:ascii="Times New Roman" w:hAnsi="Times New Roman" w:cs="Times New Roman"/>
          <w:sz w:val="24"/>
          <w:szCs w:val="24"/>
        </w:rPr>
        <w:br/>
        <w:t>i prawnych, szczegółów praktyk prowadzących do wystąpienia nieprawidłowości lub nadużyć finansowych, a także sankcji administracyjnych lub karnych. Informacje te są wykorzystywane wyłącznie do użytku służbowego (pracownik obsługujący rejestr winien podpisać deklarację bezstronności).</w:t>
      </w:r>
    </w:p>
    <w:p w:rsidR="008C6DA0" w:rsidRPr="00E64151" w:rsidRDefault="008C6DA0" w:rsidP="008C6DA0">
      <w:pPr>
        <w:pStyle w:val="Tekstpodstawowy2"/>
        <w:shd w:val="clear" w:color="auto" w:fill="auto"/>
        <w:spacing w:before="0" w:after="26" w:line="264" w:lineRule="exact"/>
        <w:ind w:right="20" w:firstLine="0"/>
        <w:jc w:val="both"/>
        <w:rPr>
          <w:rFonts w:ascii="Times New Roman" w:hAnsi="Times New Roman" w:cs="Times New Roman"/>
          <w:sz w:val="24"/>
          <w:szCs w:val="24"/>
        </w:rPr>
      </w:pPr>
      <w:r w:rsidRPr="00E64151">
        <w:rPr>
          <w:rFonts w:ascii="Times New Roman" w:hAnsi="Times New Roman" w:cs="Times New Roman"/>
          <w:sz w:val="24"/>
          <w:szCs w:val="24"/>
        </w:rPr>
        <w:t>KE przywiązuje dużą wagę do przestrzegania zasad zdefiniowanych w dokumencie</w:t>
      </w:r>
      <w:r w:rsidRPr="00E64151">
        <w:rPr>
          <w:rStyle w:val="BodytextItalic"/>
          <w:rFonts w:ascii="Times New Roman" w:hAnsi="Times New Roman" w:cs="Times New Roman"/>
          <w:sz w:val="24"/>
          <w:szCs w:val="24"/>
        </w:rPr>
        <w:t xml:space="preserve"> Polityka bezpieczeństwa AFIS.</w:t>
      </w:r>
      <w:r w:rsidRPr="00E64151">
        <w:rPr>
          <w:rFonts w:ascii="Times New Roman" w:hAnsi="Times New Roman" w:cs="Times New Roman"/>
          <w:sz w:val="24"/>
          <w:szCs w:val="24"/>
        </w:rPr>
        <w:t xml:space="preserve"> Jedna z tych zasad stanowi, iż użytkownicy systemu powinni posiadać prawo dostępu wyłącznie do tych informacji, które są im niezbędne z racji wykonywanych zadań (zasada wiedzy koniecznej), co oznacza w praktyce zgodność z zakresem obowiązków, wynikającym z roli pełnionej w IR. W związku z powyższym, w celu zapewnienia ochrony danych zawartych w bazie systemu IMS, obowiązują następujące zasady udzielania dostępu do jego zasobów:</w:t>
      </w:r>
    </w:p>
    <w:p w:rsidR="008C6DA0" w:rsidRPr="00E91351" w:rsidRDefault="008C6DA0" w:rsidP="008C6DA0">
      <w:pPr>
        <w:pStyle w:val="Tekstpodstawowy2"/>
        <w:numPr>
          <w:ilvl w:val="0"/>
          <w:numId w:val="14"/>
        </w:numPr>
        <w:shd w:val="clear" w:color="auto" w:fill="auto"/>
        <w:tabs>
          <w:tab w:val="left" w:pos="462"/>
        </w:tabs>
        <w:spacing w:before="0" w:after="0" w:line="307" w:lineRule="exact"/>
        <w:ind w:firstLine="0"/>
        <w:jc w:val="both"/>
        <w:rPr>
          <w:rFonts w:ascii="Times New Roman" w:hAnsi="Times New Roman" w:cs="Times New Roman"/>
          <w:sz w:val="24"/>
          <w:szCs w:val="24"/>
        </w:rPr>
      </w:pPr>
      <w:r w:rsidRPr="00E91351">
        <w:rPr>
          <w:rFonts w:ascii="Times New Roman" w:hAnsi="Times New Roman" w:cs="Times New Roman"/>
          <w:sz w:val="24"/>
          <w:szCs w:val="24"/>
        </w:rPr>
        <w:t>właścicielem informacji w systemie IMS jest właściwa instytucja (instytucja inicjująca);</w:t>
      </w:r>
    </w:p>
    <w:p w:rsidR="008C6DA0" w:rsidRPr="00E91351" w:rsidRDefault="008C6DA0" w:rsidP="008C6DA0">
      <w:pPr>
        <w:pStyle w:val="Tekstpodstawowy2"/>
        <w:numPr>
          <w:ilvl w:val="0"/>
          <w:numId w:val="14"/>
        </w:numPr>
        <w:shd w:val="clear" w:color="auto" w:fill="auto"/>
        <w:tabs>
          <w:tab w:val="left" w:pos="477"/>
        </w:tabs>
        <w:spacing w:before="0" w:after="0" w:line="307"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dostęp do danego zakresu informacji w systemie IMS przydzielany jest wyłącznie użytkownikom z danej instytucji biorącym aktywny udział w przekazywaniu zgłoszeń nieprawidłowości do KE, zgodnie z</w:t>
      </w:r>
      <w:r w:rsidRPr="00E91351">
        <w:rPr>
          <w:rFonts w:ascii="Times New Roman" w:hAnsi="Times New Roman" w:cs="Times New Roman"/>
          <w:i/>
          <w:iCs/>
          <w:sz w:val="24"/>
          <w:szCs w:val="24"/>
        </w:rPr>
        <w:t xml:space="preserve"> Procedurą zarządzania użytkownikami systemu IMS,</w:t>
      </w:r>
      <w:r w:rsidRPr="00E91351">
        <w:rPr>
          <w:rFonts w:ascii="Times New Roman" w:hAnsi="Times New Roman" w:cs="Times New Roman"/>
          <w:sz w:val="24"/>
          <w:szCs w:val="24"/>
        </w:rPr>
        <w:t xml:space="preserve"> na wniosek tej instytucji;</w:t>
      </w:r>
    </w:p>
    <w:p w:rsidR="008C6DA0" w:rsidRPr="00E91351" w:rsidRDefault="008C6DA0" w:rsidP="008C6DA0">
      <w:pPr>
        <w:pStyle w:val="Tekstpodstawowy2"/>
        <w:numPr>
          <w:ilvl w:val="0"/>
          <w:numId w:val="14"/>
        </w:numPr>
        <w:shd w:val="clear" w:color="auto" w:fill="auto"/>
        <w:tabs>
          <w:tab w:val="left" w:pos="462"/>
        </w:tabs>
        <w:spacing w:before="0" w:after="0" w:line="307"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 przypadku, jeżeli podmiot wyraża potrzebę zapoznania się ze zgłoszeniami sporządzonymi przez daną instytucję, obieg informacji powinien odbywać się poza systemem IMS. W tym celu zainteresowany podmiot powinien nawiązać kontakt z właścicielem danych w celu ustalenia trybu oraz zakresu informacji, które mają być przekazane. Przekazywanie informacji </w:t>
      </w:r>
      <w:r w:rsidRPr="00E91351">
        <w:rPr>
          <w:rFonts w:ascii="Times New Roman" w:hAnsi="Times New Roman" w:cs="Times New Roman"/>
          <w:sz w:val="24"/>
          <w:szCs w:val="24"/>
        </w:rPr>
        <w:br/>
        <w:t>o nieprawidłowościach będących w gestii danej instytucji poza systemem IMS możliwe jest przy pomocy wydruku raportów w wersji papierowej lub eksportu danych (np. do formatu Excel), albo poprzez umożliwienie wglądu do systemów własnych tych instytucji;</w:t>
      </w:r>
    </w:p>
    <w:p w:rsidR="008C6DA0" w:rsidRPr="00E91351" w:rsidRDefault="008C6DA0" w:rsidP="008C6DA0">
      <w:pPr>
        <w:pStyle w:val="Tekstpodstawowy2"/>
        <w:numPr>
          <w:ilvl w:val="0"/>
          <w:numId w:val="14"/>
        </w:numPr>
        <w:shd w:val="clear" w:color="auto" w:fill="auto"/>
        <w:tabs>
          <w:tab w:val="left" w:pos="284"/>
        </w:tabs>
        <w:spacing w:before="0" w:after="0" w:line="307" w:lineRule="exact"/>
        <w:ind w:left="284" w:right="20" w:hanging="284"/>
        <w:jc w:val="both"/>
        <w:rPr>
          <w:rFonts w:ascii="Times New Roman" w:hAnsi="Times New Roman" w:cs="Times New Roman"/>
          <w:sz w:val="24"/>
          <w:szCs w:val="24"/>
        </w:rPr>
      </w:pPr>
      <w:r w:rsidRPr="00E91351">
        <w:rPr>
          <w:rFonts w:ascii="Times New Roman" w:hAnsi="Times New Roman" w:cs="Times New Roman"/>
          <w:sz w:val="24"/>
          <w:szCs w:val="24"/>
        </w:rPr>
        <w:t xml:space="preserve">W przypadku, jeżeli dana instytucja uzasadni szczególną potrzebę posiadania stałego wglądu do zgłoszeń innej instytucji za pomocą systemu IMS, instytucja, która jest właścicielem danych, powinna wyrazić na to zgodę. W tym celu należy zwrócić się z wnioskiem do właściwej IZ, która następnie skieruje do MF-R prośbę o utworzenie stałego dostępu do IMS. Pełny wykaz instytucji posiadających stały wgląd do bazy systemu IMS z powodu pełnionych funkcji koordynujących </w:t>
      </w:r>
      <w:r w:rsidRPr="00E91351">
        <w:rPr>
          <w:rFonts w:ascii="Times New Roman" w:hAnsi="Times New Roman" w:cs="Times New Roman"/>
          <w:sz w:val="24"/>
          <w:szCs w:val="24"/>
        </w:rPr>
        <w:br/>
        <w:t>i zarządczych zawiera załącznik nr 10);</w:t>
      </w:r>
    </w:p>
    <w:p w:rsidR="008C6DA0" w:rsidRPr="00E91351" w:rsidRDefault="008C6DA0" w:rsidP="008C6DA0">
      <w:pPr>
        <w:pStyle w:val="Tekstpodstawowy2"/>
        <w:numPr>
          <w:ilvl w:val="0"/>
          <w:numId w:val="14"/>
        </w:numPr>
        <w:shd w:val="clear" w:color="auto" w:fill="auto"/>
        <w:tabs>
          <w:tab w:val="left" w:pos="284"/>
        </w:tabs>
        <w:spacing w:before="0" w:after="91" w:line="307" w:lineRule="exact"/>
        <w:ind w:left="284" w:right="20" w:hanging="284"/>
        <w:jc w:val="both"/>
        <w:rPr>
          <w:rFonts w:ascii="Times New Roman" w:hAnsi="Times New Roman" w:cs="Times New Roman"/>
          <w:sz w:val="24"/>
          <w:szCs w:val="24"/>
        </w:rPr>
      </w:pPr>
      <w:r w:rsidRPr="00E91351">
        <w:rPr>
          <w:rFonts w:ascii="Times New Roman" w:hAnsi="Times New Roman" w:cs="Times New Roman"/>
          <w:sz w:val="24"/>
          <w:szCs w:val="24"/>
        </w:rPr>
        <w:t>Technicznie nie jest możliwe udzielanie stałego dostępu do części przypadków z bazy systemu IMS pozostających w obszarze właściwości danej instytucji (np. tylko do spraw zaklasyfikowanych jako nadużycia finansowe, lub tylko spraw powiązanych z określonymi podmiotami). W takiej sytuacji, jeżeli wnioskujący podmiot nie posiada stosownej właściwości, ze względu na zasadę wiedzy koniecznej, nie jest możliwe udzielenie dostępu do systemu IMS - ani do zakresu danej instytucji, ani do całej bazy. Jedynym rozwiązaniem jest doraźna współpraca.</w:t>
      </w:r>
    </w:p>
    <w:p w:rsidR="008C6DA0" w:rsidRPr="00E91351" w:rsidRDefault="008C6DA0" w:rsidP="008C6DA0">
      <w:pPr>
        <w:pStyle w:val="Bodytext30"/>
        <w:shd w:val="clear" w:color="auto" w:fill="auto"/>
        <w:spacing w:before="0" w:line="269" w:lineRule="exact"/>
        <w:ind w:right="20" w:firstLine="0"/>
        <w:jc w:val="both"/>
        <w:rPr>
          <w:rStyle w:val="Bodytext3NotItalic"/>
          <w:rFonts w:ascii="Times New Roman" w:hAnsi="Times New Roman" w:cs="Times New Roman"/>
          <w:sz w:val="24"/>
          <w:szCs w:val="24"/>
        </w:rPr>
      </w:pPr>
      <w:r w:rsidRPr="00E91351">
        <w:rPr>
          <w:rStyle w:val="Bodytext3NotItalic"/>
          <w:rFonts w:ascii="Times New Roman" w:hAnsi="Times New Roman" w:cs="Times New Roman"/>
          <w:sz w:val="24"/>
          <w:szCs w:val="24"/>
        </w:rPr>
        <w:t>Dane osobowe przetwarzane w systemie IMS podlegają ochronie zgodnie z</w:t>
      </w:r>
      <w:r w:rsidRPr="00E91351">
        <w:rPr>
          <w:rFonts w:ascii="Times New Roman" w:hAnsi="Times New Roman" w:cs="Times New Roman"/>
          <w:sz w:val="24"/>
          <w:szCs w:val="24"/>
        </w:rPr>
        <w:t xml:space="preserve"> Rozporządzeniem (WE) nr 45/2001 Parlamentu Europejskiego i Rady z dnia 18 grudnia 2000 r. o ochronie osób fizycznych w związku z przetwarzaniem danych osobowych przez instytucje i organy wspólnotowe </w:t>
      </w:r>
      <w:r w:rsidRPr="00E91351">
        <w:rPr>
          <w:rFonts w:ascii="Times New Roman" w:hAnsi="Times New Roman" w:cs="Times New Roman"/>
          <w:sz w:val="24"/>
          <w:szCs w:val="24"/>
        </w:rPr>
        <w:br/>
      </w:r>
      <w:r w:rsidRPr="00E91351">
        <w:rPr>
          <w:rFonts w:ascii="Times New Roman" w:hAnsi="Times New Roman" w:cs="Times New Roman"/>
          <w:sz w:val="24"/>
          <w:szCs w:val="24"/>
        </w:rPr>
        <w:lastRenderedPageBreak/>
        <w:t xml:space="preserve">i o swobodnym przepływie takich danych. </w:t>
      </w:r>
      <w:hyperlink r:id="rId13" w:history="1">
        <w:r w:rsidRPr="00E91351">
          <w:rPr>
            <w:rStyle w:val="Hipercze"/>
            <w:rFonts w:ascii="Times New Roman" w:hAnsi="Times New Roman" w:cs="Times New Roman"/>
            <w:sz w:val="24"/>
            <w:szCs w:val="24"/>
          </w:rPr>
          <w:t>(Dz. Urz. UE L 8 z 12.01.2001 r., str. 1)</w:t>
        </w:r>
      </w:hyperlink>
      <w:r w:rsidRPr="00E91351">
        <w:rPr>
          <w:rStyle w:val="Hipercze"/>
          <w:rFonts w:ascii="Times New Roman" w:hAnsi="Times New Roman" w:cs="Times New Roman"/>
          <w:sz w:val="24"/>
          <w:szCs w:val="24"/>
        </w:rPr>
        <w:t xml:space="preserve">. </w:t>
      </w:r>
      <w:r w:rsidRPr="00E91351">
        <w:rPr>
          <w:rStyle w:val="Bodytext3NotItalic"/>
          <w:rFonts w:ascii="Times New Roman" w:hAnsi="Times New Roman" w:cs="Times New Roman"/>
          <w:sz w:val="24"/>
          <w:szCs w:val="24"/>
        </w:rPr>
        <w:t>Administratorem danych przetwarzanych w systemie IMS jest KE.</w:t>
      </w:r>
    </w:p>
    <w:p w:rsidR="008C6DA0" w:rsidRPr="00E91351" w:rsidRDefault="008C6DA0" w:rsidP="008C6DA0">
      <w:pPr>
        <w:jc w:val="both"/>
      </w:pPr>
    </w:p>
    <w:p w:rsidR="008C6DA0" w:rsidRPr="00E91351" w:rsidRDefault="008C6DA0" w:rsidP="008C6DA0">
      <w:pPr>
        <w:jc w:val="both"/>
        <w:rPr>
          <w:b/>
          <w:u w:val="single"/>
        </w:rPr>
      </w:pPr>
      <w:r w:rsidRPr="00E91351">
        <w:rPr>
          <w:b/>
          <w:u w:val="single"/>
        </w:rPr>
        <w:t>R.8 Postępowanie z doniesieniami o nieprawidłowościach</w:t>
      </w:r>
    </w:p>
    <w:p w:rsidR="008C6DA0" w:rsidRPr="00E91351" w:rsidRDefault="008C6DA0" w:rsidP="008C6DA0">
      <w:pPr>
        <w:jc w:val="both"/>
      </w:pPr>
      <w:r w:rsidRPr="00E91351">
        <w:t xml:space="preserve">Każda informacja o podejrzeniu wystąpienia nieprawidłowości powinna być przeanalizowana przez IP niezależnie od formy i źródła tej informacji. W takim przypadku za każdym razem IP przeprowadza postępowanie wyjaśniające w celu potwierdzenia otrzymanej informacji lub wykluczenia wystąpienia nieprawidłowości. </w:t>
      </w:r>
    </w:p>
    <w:p w:rsidR="008C6DA0" w:rsidRPr="00E91351" w:rsidRDefault="008C6DA0" w:rsidP="008C6DA0">
      <w:pPr>
        <w:jc w:val="both"/>
        <w:rPr>
          <w:b/>
          <w:u w:val="single"/>
        </w:rPr>
      </w:pPr>
      <w:r w:rsidRPr="00E91351">
        <w:t xml:space="preserve">W przypadku zgłoszenia informacji ustnie bądź telefonicznie pracownik IP sporządza na tę okoliczność notatkę służbową, zawierającą informacje o podejrzeniu wystąpienia nieprawidłowości ze wskazaniem danych podmiotu, którego nieprawidłowość może dotyczyć </w:t>
      </w:r>
      <w:r w:rsidRPr="00E91351">
        <w:br/>
        <w:t xml:space="preserve">i przekazuje ją do komórki organizacyjnej odpowiedzialnej za weryfikację/ autoryzację wniosku, </w:t>
      </w:r>
      <w:r w:rsidRPr="00E91351">
        <w:br/>
        <w:t xml:space="preserve">a w przypadku operacji zakończonych – komórce przeprowadzającej kontrole w okresie trwałości. Anonimowe informacje o wystąpieniu nieprawidłowości również podlegają powyższym zasadom. </w:t>
      </w:r>
    </w:p>
    <w:p w:rsidR="008C6DA0" w:rsidRPr="00E91351" w:rsidRDefault="008C6DA0" w:rsidP="008C6DA0">
      <w:pPr>
        <w:tabs>
          <w:tab w:val="num" w:pos="900"/>
        </w:tabs>
        <w:jc w:val="both"/>
        <w:rPr>
          <w:b/>
          <w:u w:val="single"/>
        </w:rPr>
      </w:pPr>
      <w:r w:rsidRPr="00E91351">
        <w:rPr>
          <w:b/>
          <w:u w:val="single"/>
        </w:rPr>
        <w:t>R.9 Kierowanie spraw do organów ścigania</w:t>
      </w:r>
    </w:p>
    <w:p w:rsidR="008C6DA0" w:rsidRPr="00E91351" w:rsidRDefault="008C6DA0" w:rsidP="008C6DA0">
      <w:pPr>
        <w:jc w:val="both"/>
      </w:pPr>
      <w:r w:rsidRPr="00E91351">
        <w:t>Obowiązek w zakresie zawiadamiania organów ścigania o podejrzeniu popeł</w:t>
      </w:r>
      <w:r w:rsidRPr="00E91351">
        <w:softHyphen/>
        <w:t xml:space="preserve">nienia przestępstwa wynika z przepisu art. 304 § 2 </w:t>
      </w:r>
      <w:r w:rsidRPr="00E91351">
        <w:rPr>
          <w:bCs/>
        </w:rPr>
        <w:t>„ustawy z dnia 6 czerwca 1997 r.</w:t>
      </w:r>
      <w:r w:rsidRPr="00E91351">
        <w:rPr>
          <w:b/>
          <w:bCs/>
        </w:rPr>
        <w:t xml:space="preserve"> </w:t>
      </w:r>
      <w:r w:rsidRPr="00E91351">
        <w:rPr>
          <w:bCs/>
        </w:rPr>
        <w:t>Kodeks postępowania karnego</w:t>
      </w:r>
      <w:r w:rsidRPr="00E91351">
        <w:rPr>
          <w:b/>
          <w:bCs/>
        </w:rPr>
        <w:t xml:space="preserve"> </w:t>
      </w:r>
      <w:hyperlink r:id="rId14" w:history="1">
        <w:r w:rsidRPr="00E91351">
          <w:t xml:space="preserve"> Dz.U. z 2017 r. poz. 1904 oraz z 2018 r. poz. 106, 138 i 201</w:t>
        </w:r>
        <w:r w:rsidRPr="00E91351">
          <w:rPr>
            <w:rStyle w:val="Hipercze"/>
            <w:bCs/>
          </w:rPr>
          <w:t>)</w:t>
        </w:r>
      </w:hyperlink>
      <w:r w:rsidRPr="00E91351">
        <w:rPr>
          <w:rStyle w:val="Hipercze"/>
          <w:bCs/>
        </w:rPr>
        <w:t xml:space="preserve"> </w:t>
      </w:r>
      <w:r w:rsidRPr="00E91351">
        <w:t xml:space="preserve">cyt.: </w:t>
      </w:r>
      <w:r w:rsidRPr="00E91351">
        <w:rPr>
          <w:i/>
        </w:rPr>
        <w:t xml:space="preserve">„Instytucje państwowe i samorządowe, które w związku ze swą działalnością dowiedziały się o popełnieniu przestępstwa ściganego z urzędu, są obowiązane niezwłocznie zawiadomić o tym prokuratora lub Policję oraz przedsięwziąć niezbędne czynności do czasu przybycia organu powołanego do ścigania przestępstw lub do czasu wydania przez ten organ stosownego zarządzenia, aby nie dopuścić do zatarcia śladów i dowodów przestępstwa”. </w:t>
      </w:r>
      <w:r w:rsidRPr="00E91351">
        <w:t xml:space="preserve">Powyższe dotyczy również podmiotu nie będącego instytucją publiczną. </w:t>
      </w:r>
    </w:p>
    <w:p w:rsidR="008C6DA0" w:rsidRPr="00E91351" w:rsidRDefault="008C6DA0" w:rsidP="008C6DA0">
      <w:pPr>
        <w:jc w:val="both"/>
      </w:pPr>
      <w:r w:rsidRPr="00E91351">
        <w:t>Każdy</w:t>
      </w:r>
      <w:r w:rsidRPr="00E91351">
        <w:rPr>
          <w:bCs/>
        </w:rPr>
        <w:t xml:space="preserve"> stwierdzony przypadek nieprawidłowości powinien być indywidualnie przeanalizowany, zweryfikowany pod kątem, czy zachodzi uzasadnione podejrzenie popełnienia przestępstwa lub wykroczenia. </w:t>
      </w:r>
      <w:r w:rsidRPr="00E91351">
        <w:t xml:space="preserve">Jeżeli w wyniku analizy zostanie podjęta decyzja o skierowaniu sprawy do organów ścigania, należy przygotować </w:t>
      </w:r>
      <w:r w:rsidRPr="00E91351">
        <w:rPr>
          <w:i/>
        </w:rPr>
        <w:t>Zawiadomienie o podejrzeniu popełnienia przestępstwa/wykroczenia</w:t>
      </w:r>
      <w:r w:rsidRPr="00E91351">
        <w:t xml:space="preserve"> po uprawomocnieniu się stanowisk w sprawie (po upływie terminu na wniesienie odwołania lub po wydaniu przez organ odwoławczy stanowiska zatwierdzającego wystąpienie nieprawidłowości). Każde </w:t>
      </w:r>
      <w:r w:rsidRPr="00E91351">
        <w:rPr>
          <w:i/>
        </w:rPr>
        <w:t>Zawiadomienie o podejrzeniu popełnienia przestępstwa/wykroczenia</w:t>
      </w:r>
      <w:r w:rsidRPr="00E91351">
        <w:t xml:space="preserve"> obligatoryjnie podlega sprawdzeniu i parafowaniu przez radcę prawnego zatrudnionego w danej IP. </w:t>
      </w:r>
      <w:r w:rsidRPr="00E91351">
        <w:rPr>
          <w:i/>
        </w:rPr>
        <w:t>Zawiadomienie</w:t>
      </w:r>
      <w:r w:rsidRPr="00E91351">
        <w:t xml:space="preserve"> podpisuje organ danej IP lub osoba upoważniona. Dalsze procedowanie nad sprawą przed organami ścigania, np. w zakresie wnoszenia środka odwoławczego, udziału w przesłuchaniu lub udostępniania dokumentacji prowadzone jest również przez jednostkę/komórkę organizacyjną IP sporządzającą </w:t>
      </w:r>
      <w:r w:rsidRPr="00E91351">
        <w:rPr>
          <w:i/>
        </w:rPr>
        <w:t>Zawiadomienie o podejrzeniu popełnienia przestępstwa</w:t>
      </w:r>
      <w:r w:rsidRPr="00E91351">
        <w:t>. Postępowanie przed organami ścigania powinno być prowadzone przy udziale radcy prawnego.</w:t>
      </w:r>
    </w:p>
    <w:p w:rsidR="008C6DA0" w:rsidRPr="00E91351" w:rsidRDefault="008C6DA0" w:rsidP="008C6DA0">
      <w:pPr>
        <w:jc w:val="both"/>
      </w:pPr>
      <w:r w:rsidRPr="00E91351">
        <w:t>W przypadku wpływu do IP postanowień o umorzeniu postępowań przygotowawczych bądź o odmowie wszczęcia postępowań przygotowawczych w następujących sytuacjach odstępuje się od kierowania zażaleń na te postanowienia:</w:t>
      </w:r>
    </w:p>
    <w:p w:rsidR="008C6DA0" w:rsidRPr="00E91351" w:rsidRDefault="008C6DA0" w:rsidP="008C6DA0">
      <w:pPr>
        <w:numPr>
          <w:ilvl w:val="0"/>
          <w:numId w:val="5"/>
        </w:numPr>
        <w:jc w:val="both"/>
      </w:pPr>
      <w:r w:rsidRPr="00E91351">
        <w:t>Beneficjent przed wszczęciem postępowania karnego dobrowolnie zapobiegł wykorzystaniu wsparcia finansowego, zrezygnował z pomocy albo zaspokoił roszczenia,</w:t>
      </w:r>
    </w:p>
    <w:p w:rsidR="008C6DA0" w:rsidRPr="00E91351" w:rsidRDefault="008C6DA0" w:rsidP="008C6DA0">
      <w:pPr>
        <w:numPr>
          <w:ilvl w:val="0"/>
          <w:numId w:val="5"/>
        </w:numPr>
        <w:jc w:val="both"/>
      </w:pPr>
      <w:r w:rsidRPr="00E91351">
        <w:t>kwota wsparcia finansowego nie została wypłacona,</w:t>
      </w:r>
    </w:p>
    <w:p w:rsidR="008C6DA0" w:rsidRPr="00E91351" w:rsidRDefault="008C6DA0" w:rsidP="008C6DA0">
      <w:pPr>
        <w:numPr>
          <w:ilvl w:val="0"/>
          <w:numId w:val="5"/>
        </w:numPr>
        <w:jc w:val="both"/>
      </w:pPr>
      <w:r w:rsidRPr="00E91351">
        <w:t>Beneficjent zaspokoił roszczenie po wszczęciu postępowania karnego.</w:t>
      </w:r>
    </w:p>
    <w:p w:rsidR="008C6DA0" w:rsidRPr="00E91351" w:rsidRDefault="008C6DA0" w:rsidP="008C6DA0">
      <w:pPr>
        <w:tabs>
          <w:tab w:val="num" w:pos="720"/>
        </w:tabs>
        <w:jc w:val="both"/>
      </w:pPr>
      <w:r w:rsidRPr="00E91351">
        <w:t xml:space="preserve">W uzasadnionych przypadkach opisanych powyżej, jak również w przypadkach, gdy środki finansowe zostały wypłacone, a nie zostały zwrócone przez beneficjenta, ewentualne zażalenia na te postanowienia będą składane po dokonaniu indywidualnej oceny każdej sprawy. </w:t>
      </w:r>
    </w:p>
    <w:p w:rsidR="008C6DA0" w:rsidRPr="00E91351" w:rsidRDefault="008C6DA0" w:rsidP="008C6DA0">
      <w:pPr>
        <w:tabs>
          <w:tab w:val="num" w:pos="900"/>
        </w:tabs>
        <w:jc w:val="both"/>
        <w:rPr>
          <w:b/>
          <w:u w:val="single"/>
        </w:rPr>
      </w:pPr>
      <w:r w:rsidRPr="00E91351">
        <w:rPr>
          <w:b/>
          <w:u w:val="single"/>
        </w:rPr>
        <w:t>R.10 Przekazywanie informacji o nieprawidłowościach</w:t>
      </w:r>
    </w:p>
    <w:p w:rsidR="008C6DA0" w:rsidRPr="00E91351" w:rsidRDefault="008C6DA0" w:rsidP="008C6DA0">
      <w:pPr>
        <w:jc w:val="both"/>
      </w:pPr>
      <w:r w:rsidRPr="00E91351">
        <w:rPr>
          <w:color w:val="000000"/>
        </w:rPr>
        <w:t xml:space="preserve">Wprowadzenie danych do rejestrów następuje w terminie 3 dni roboczych od daty zatwierdzenia </w:t>
      </w:r>
      <w:r w:rsidRPr="00E91351">
        <w:rPr>
          <w:color w:val="000000"/>
        </w:rPr>
        <w:br/>
        <w:t xml:space="preserve">K-1/446. </w:t>
      </w:r>
    </w:p>
    <w:p w:rsidR="008C6DA0" w:rsidRPr="00E91351" w:rsidRDefault="008C6DA0" w:rsidP="008C6DA0">
      <w:pPr>
        <w:pStyle w:val="Tekstpodstawowy2"/>
        <w:shd w:val="clear" w:color="auto" w:fill="auto"/>
        <w:spacing w:before="0" w:after="56" w:line="264" w:lineRule="exact"/>
        <w:ind w:right="40" w:firstLine="0"/>
        <w:jc w:val="both"/>
        <w:rPr>
          <w:rFonts w:ascii="Times New Roman" w:hAnsi="Times New Roman" w:cs="Times New Roman"/>
          <w:sz w:val="24"/>
          <w:szCs w:val="24"/>
        </w:rPr>
      </w:pPr>
      <w:r w:rsidRPr="00E91351">
        <w:rPr>
          <w:rFonts w:ascii="Times New Roman" w:hAnsi="Times New Roman" w:cs="Times New Roman"/>
          <w:sz w:val="24"/>
          <w:szCs w:val="24"/>
        </w:rPr>
        <w:t>Zgodnie z rozporządzeniami dotyczącymi obowiązku powiadamiania KE o nieprawidłowościach w zakresie wykorzystania funduszy</w:t>
      </w:r>
      <w:r w:rsidRPr="00E91351">
        <w:rPr>
          <w:rStyle w:val="BodytextBold"/>
          <w:rFonts w:ascii="Times New Roman" w:hAnsi="Times New Roman" w:cs="Times New Roman"/>
          <w:sz w:val="24"/>
          <w:szCs w:val="24"/>
        </w:rPr>
        <w:t xml:space="preserve"> UE,</w:t>
      </w:r>
      <w:r w:rsidRPr="00E91351">
        <w:rPr>
          <w:rFonts w:ascii="Times New Roman" w:hAnsi="Times New Roman" w:cs="Times New Roman"/>
          <w:sz w:val="24"/>
          <w:szCs w:val="24"/>
        </w:rPr>
        <w:t xml:space="preserve"> państwa członkowskie są zobowiązane do zgłaszania nieprawidłowości nie później, niż w okresie dwóch miesięcy następujących po zakończeniu kwartału, w którym nieprawidłowość była przedmiotem pierwszego ustalenia administracyjnego lub </w:t>
      </w:r>
      <w:r w:rsidRPr="00E91351">
        <w:rPr>
          <w:rFonts w:ascii="Times New Roman" w:hAnsi="Times New Roman" w:cs="Times New Roman"/>
          <w:sz w:val="24"/>
          <w:szCs w:val="24"/>
        </w:rPr>
        <w:lastRenderedPageBreak/>
        <w:t>sądowego. W praktyce oznacza to, że okres między stwierdzeniem nieprawidłowości (data pierwszego ustalenia administracyjnego lub sądowego), a przekazaniem zgłoszenia do</w:t>
      </w:r>
      <w:r w:rsidRPr="00E91351">
        <w:rPr>
          <w:rStyle w:val="BodytextBold"/>
          <w:rFonts w:ascii="Times New Roman" w:hAnsi="Times New Roman" w:cs="Times New Roman"/>
          <w:sz w:val="24"/>
          <w:szCs w:val="24"/>
        </w:rPr>
        <w:t xml:space="preserve"> KE,</w:t>
      </w:r>
      <w:r w:rsidRPr="00E91351">
        <w:rPr>
          <w:rFonts w:ascii="Times New Roman" w:hAnsi="Times New Roman" w:cs="Times New Roman"/>
          <w:sz w:val="24"/>
          <w:szCs w:val="24"/>
        </w:rPr>
        <w:t xml:space="preserve"> nie powinien przekraczać</w:t>
      </w:r>
      <w:r w:rsidRPr="00E91351">
        <w:rPr>
          <w:rStyle w:val="BodytextBold"/>
          <w:rFonts w:ascii="Times New Roman" w:hAnsi="Times New Roman" w:cs="Times New Roman"/>
          <w:sz w:val="24"/>
          <w:szCs w:val="24"/>
        </w:rPr>
        <w:t xml:space="preserve"> 5 miesięcy.</w:t>
      </w:r>
    </w:p>
    <w:p w:rsidR="008C6DA0" w:rsidRPr="00E91351" w:rsidRDefault="008C6DA0" w:rsidP="008C6DA0">
      <w:pPr>
        <w:pStyle w:val="Tekstpodstawowy2"/>
        <w:shd w:val="clear" w:color="auto" w:fill="auto"/>
        <w:spacing w:before="0" w:after="186" w:line="269" w:lineRule="exact"/>
        <w:ind w:right="40" w:firstLine="0"/>
        <w:jc w:val="both"/>
        <w:rPr>
          <w:rFonts w:ascii="Times New Roman" w:hAnsi="Times New Roman" w:cs="Times New Roman"/>
          <w:sz w:val="24"/>
          <w:szCs w:val="24"/>
        </w:rPr>
      </w:pPr>
      <w:r w:rsidRPr="00E91351">
        <w:rPr>
          <w:rFonts w:ascii="Times New Roman" w:hAnsi="Times New Roman" w:cs="Times New Roman"/>
          <w:sz w:val="24"/>
          <w:szCs w:val="24"/>
        </w:rPr>
        <w:t>Z uwagi na konieczność dotrzymania terminu wyznaczonego przez KE na przekazywanie zgłoszeń nieprawidłowości przez państwa członkowskie, właściwe instytucje przekazują zgłoszenia do Instytucji Zarządzającej na bieżąco w systemie IMS, jednak nie później niż w poniżej przedstawionych terminach:</w:t>
      </w:r>
    </w:p>
    <w:tbl>
      <w:tblPr>
        <w:tblW w:w="0" w:type="auto"/>
        <w:jc w:val="center"/>
        <w:tblLayout w:type="fixed"/>
        <w:tblCellMar>
          <w:left w:w="10" w:type="dxa"/>
          <w:right w:w="10" w:type="dxa"/>
        </w:tblCellMar>
        <w:tblLook w:val="0000" w:firstRow="0" w:lastRow="0" w:firstColumn="0" w:lastColumn="0" w:noHBand="0" w:noVBand="0"/>
      </w:tblPr>
      <w:tblGrid>
        <w:gridCol w:w="2987"/>
        <w:gridCol w:w="3192"/>
        <w:gridCol w:w="3187"/>
      </w:tblGrid>
      <w:tr w:rsidR="008C6DA0" w:rsidRPr="00E91351" w:rsidTr="00A54E9E">
        <w:trPr>
          <w:trHeight w:val="418"/>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pStyle w:val="Bodytext140"/>
              <w:framePr w:wrap="notBeside" w:vAnchor="text" w:hAnchor="text" w:xAlign="center" w:y="1"/>
              <w:shd w:val="clear" w:color="auto" w:fill="auto"/>
              <w:rPr>
                <w:rFonts w:ascii="Times New Roman" w:hAnsi="Times New Roman" w:cs="Times New Roman"/>
              </w:rPr>
            </w:pPr>
            <w:r w:rsidRPr="00E91351">
              <w:rPr>
                <w:rFonts w:ascii="Times New Roman" w:hAnsi="Times New Roman" w:cs="Times New Roman"/>
              </w:rPr>
              <w:t>Rodzaj informacji przekazywanej do IZ</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pStyle w:val="Bodytext140"/>
              <w:framePr w:wrap="notBeside" w:vAnchor="text" w:hAnchor="text" w:xAlign="center" w:y="1"/>
              <w:shd w:val="clear" w:color="auto" w:fill="auto"/>
              <w:spacing w:line="240" w:lineRule="auto"/>
              <w:rPr>
                <w:rFonts w:ascii="Times New Roman" w:hAnsi="Times New Roman" w:cs="Times New Roman"/>
              </w:rPr>
            </w:pPr>
            <w:r w:rsidRPr="00E91351">
              <w:rPr>
                <w:rFonts w:ascii="Times New Roman" w:hAnsi="Times New Roman" w:cs="Times New Roman"/>
              </w:rPr>
              <w:t>Termin przekazania do IZ</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pStyle w:val="Bodytext140"/>
              <w:framePr w:wrap="notBeside" w:vAnchor="text" w:hAnchor="text" w:xAlign="center" w:y="1"/>
              <w:shd w:val="clear" w:color="auto" w:fill="auto"/>
              <w:spacing w:line="240" w:lineRule="auto"/>
              <w:ind w:left="120"/>
              <w:jc w:val="left"/>
              <w:rPr>
                <w:rFonts w:ascii="Times New Roman" w:hAnsi="Times New Roman" w:cs="Times New Roman"/>
              </w:rPr>
            </w:pPr>
            <w:r w:rsidRPr="00E91351">
              <w:rPr>
                <w:rFonts w:ascii="Times New Roman" w:hAnsi="Times New Roman" w:cs="Times New Roman"/>
              </w:rPr>
              <w:t>Forma przekazania</w:t>
            </w:r>
          </w:p>
        </w:tc>
      </w:tr>
      <w:tr w:rsidR="008C6DA0" w:rsidRPr="00E91351" w:rsidTr="00A54E9E">
        <w:trPr>
          <w:trHeight w:val="422"/>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pPr>
            <w:r w:rsidRPr="00E91351">
              <w:rPr>
                <w:rStyle w:val="Bodytext13"/>
              </w:rPr>
              <w:t>Zgłoszenie szczególne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pPr>
            <w:r w:rsidRPr="00E91351">
              <w:rPr>
                <w:rStyle w:val="Bodytext13"/>
              </w:rPr>
              <w:t>Niezwłocznie, jednak nie później, niż 25 dni kalendarzowych od daty powzięcia informacji o podejrzeniu nieprawidłowości</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ind w:left="120"/>
            </w:pPr>
            <w:r w:rsidRPr="00E91351">
              <w:rPr>
                <w:rStyle w:val="Bodytext13"/>
              </w:rPr>
              <w:t>IMS oraz informacja mailowa</w:t>
            </w:r>
          </w:p>
        </w:tc>
      </w:tr>
      <w:tr w:rsidR="008C6DA0" w:rsidRPr="00E91351" w:rsidTr="00A54E9E">
        <w:trPr>
          <w:trHeight w:val="1061"/>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pPr>
            <w:r w:rsidRPr="00E91351">
              <w:rPr>
                <w:rStyle w:val="Bodytext13"/>
              </w:rPr>
              <w:t>Zgłoszenie inicjujące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11" w:lineRule="exact"/>
            </w:pPr>
            <w:r w:rsidRPr="00E91351">
              <w:rPr>
                <w:rStyle w:val="Bodytext13"/>
              </w:rPr>
              <w:t>Na bieżąco w systemie IMS, jednak nie później, niż do:</w:t>
            </w:r>
          </w:p>
          <w:p w:rsidR="008C6DA0" w:rsidRPr="00E91351" w:rsidRDefault="008C6DA0" w:rsidP="008C6DA0">
            <w:pPr>
              <w:framePr w:wrap="notBeside" w:vAnchor="text" w:hAnchor="text" w:xAlign="center" w:y="1"/>
              <w:numPr>
                <w:ilvl w:val="0"/>
                <w:numId w:val="13"/>
              </w:numPr>
              <w:tabs>
                <w:tab w:val="left" w:pos="727"/>
              </w:tabs>
              <w:spacing w:line="211" w:lineRule="exact"/>
              <w:ind w:left="420"/>
            </w:pPr>
            <w:r w:rsidRPr="00E91351">
              <w:rPr>
                <w:rStyle w:val="Bodytext13"/>
              </w:rPr>
              <w:t>31 stycznia</w:t>
            </w:r>
          </w:p>
          <w:p w:rsidR="008C6DA0" w:rsidRPr="00E91351" w:rsidRDefault="008C6DA0" w:rsidP="008C6DA0">
            <w:pPr>
              <w:framePr w:wrap="notBeside" w:vAnchor="text" w:hAnchor="text" w:xAlign="center" w:y="1"/>
              <w:numPr>
                <w:ilvl w:val="0"/>
                <w:numId w:val="13"/>
              </w:numPr>
              <w:tabs>
                <w:tab w:val="left" w:pos="727"/>
              </w:tabs>
              <w:spacing w:line="211" w:lineRule="exact"/>
              <w:ind w:left="420"/>
            </w:pPr>
            <w:r w:rsidRPr="00E91351">
              <w:rPr>
                <w:rStyle w:val="Bodytext13"/>
              </w:rPr>
              <w:t>28 kwietnia</w:t>
            </w:r>
          </w:p>
          <w:p w:rsidR="008C6DA0" w:rsidRPr="00E91351" w:rsidRDefault="008C6DA0" w:rsidP="008C6DA0">
            <w:pPr>
              <w:framePr w:wrap="notBeside" w:vAnchor="text" w:hAnchor="text" w:xAlign="center" w:y="1"/>
              <w:numPr>
                <w:ilvl w:val="0"/>
                <w:numId w:val="13"/>
              </w:numPr>
              <w:tabs>
                <w:tab w:val="left" w:pos="727"/>
              </w:tabs>
              <w:spacing w:line="211" w:lineRule="exact"/>
              <w:ind w:left="420"/>
            </w:pPr>
            <w:r w:rsidRPr="00E91351">
              <w:rPr>
                <w:rStyle w:val="Bodytext13"/>
              </w:rPr>
              <w:t>1 sierpnia,</w:t>
            </w:r>
          </w:p>
          <w:p w:rsidR="008C6DA0" w:rsidRPr="00E91351" w:rsidRDefault="008C6DA0" w:rsidP="008C6DA0">
            <w:pPr>
              <w:framePr w:wrap="notBeside" w:vAnchor="text" w:hAnchor="text" w:xAlign="center" w:y="1"/>
              <w:numPr>
                <w:ilvl w:val="0"/>
                <w:numId w:val="13"/>
              </w:numPr>
              <w:tabs>
                <w:tab w:val="left" w:pos="727"/>
              </w:tabs>
              <w:spacing w:line="211" w:lineRule="exact"/>
              <w:ind w:left="420"/>
            </w:pPr>
            <w:r w:rsidRPr="00E91351">
              <w:rPr>
                <w:rStyle w:val="Bodytext13"/>
              </w:rPr>
              <w:t>31 października.</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pPr>
            <w:r w:rsidRPr="00E91351">
              <w:rPr>
                <w:rStyle w:val="Bodytext13"/>
              </w:rPr>
              <w:t>IMS</w:t>
            </w:r>
          </w:p>
        </w:tc>
      </w:tr>
      <w:tr w:rsidR="008C6DA0" w:rsidRPr="00E91351" w:rsidTr="00A54E9E">
        <w:trPr>
          <w:trHeight w:val="619"/>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pPr>
            <w:r w:rsidRPr="00E91351">
              <w:rPr>
                <w:rStyle w:val="Bodytext13"/>
              </w:rPr>
              <w:t>Zgłoszenie uzupełniające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pPr>
            <w:r w:rsidRPr="00E91351">
              <w:rPr>
                <w:rStyle w:val="Bodytext13"/>
              </w:rPr>
              <w:t>obowiązują zasady, jak dla zgłoszeń inicjujących</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ind w:left="120"/>
            </w:pPr>
            <w:r w:rsidRPr="00E91351">
              <w:rPr>
                <w:rStyle w:val="Bodytext13"/>
              </w:rPr>
              <w:t>IMS</w:t>
            </w:r>
          </w:p>
        </w:tc>
      </w:tr>
      <w:tr w:rsidR="008C6DA0" w:rsidRPr="00E91351" w:rsidTr="00A54E9E">
        <w:trPr>
          <w:trHeight w:val="619"/>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pPr>
            <w:r w:rsidRPr="00E91351">
              <w:rPr>
                <w:rStyle w:val="Bodytext13"/>
              </w:rPr>
              <w:t>Informacje o nieprawidłowościach przekazywane na wniosek KE lub Pełnomocnika</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pPr>
            <w:r w:rsidRPr="00E91351">
              <w:rPr>
                <w:rStyle w:val="Bodytext13"/>
              </w:rPr>
              <w:t xml:space="preserve">W terminie określonym na podstawie  wniosku </w:t>
            </w:r>
            <w:r w:rsidRPr="00E91351">
              <w:rPr>
                <w:sz w:val="20"/>
              </w:rPr>
              <w:t>KE</w:t>
            </w:r>
            <w:r w:rsidRPr="00E91351">
              <w:t xml:space="preserve"> </w:t>
            </w:r>
            <w:r w:rsidRPr="00E91351">
              <w:rPr>
                <w:rStyle w:val="Bodytext13"/>
              </w:rPr>
              <w:t>lub Pełnomocnika</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ind w:left="120"/>
            </w:pPr>
            <w:r w:rsidRPr="00E91351">
              <w:rPr>
                <w:rStyle w:val="Bodytext13"/>
              </w:rPr>
              <w:t xml:space="preserve">IMS, o ile </w:t>
            </w:r>
            <w:r w:rsidRPr="00E91351">
              <w:rPr>
                <w:sz w:val="18"/>
                <w:szCs w:val="18"/>
              </w:rPr>
              <w:t>to</w:t>
            </w:r>
            <w:r w:rsidRPr="00E91351">
              <w:t xml:space="preserve"> </w:t>
            </w:r>
            <w:r w:rsidRPr="00E91351">
              <w:rPr>
                <w:rStyle w:val="Bodytext13"/>
              </w:rPr>
              <w:t>technicznie możliwe</w:t>
            </w:r>
          </w:p>
        </w:tc>
      </w:tr>
      <w:tr w:rsidR="008C6DA0" w:rsidRPr="00E91351" w:rsidTr="00A54E9E">
        <w:trPr>
          <w:trHeight w:val="442"/>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pPr>
            <w:r w:rsidRPr="00E91351">
              <w:rPr>
                <w:rStyle w:val="Bodytext13"/>
              </w:rPr>
              <w:t>Korekta zgłoszenia</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pPr>
            <w:r w:rsidRPr="00E91351">
              <w:rPr>
                <w:rStyle w:val="Bodytext13"/>
              </w:rPr>
              <w:t>W ciągu</w:t>
            </w:r>
            <w:r w:rsidRPr="00E91351">
              <w:rPr>
                <w:rStyle w:val="Bodytext13"/>
                <w:sz w:val="18"/>
                <w:szCs w:val="18"/>
              </w:rPr>
              <w:t xml:space="preserve"> </w:t>
            </w:r>
            <w:r w:rsidRPr="00E91351">
              <w:rPr>
                <w:sz w:val="18"/>
                <w:szCs w:val="18"/>
              </w:rPr>
              <w:t>5</w:t>
            </w:r>
            <w:r w:rsidRPr="00E91351">
              <w:t xml:space="preserve"> </w:t>
            </w:r>
            <w:r w:rsidRPr="00E91351">
              <w:rPr>
                <w:rStyle w:val="Bodytext13"/>
              </w:rPr>
              <w:t>dni kalendarzowych od daty odrzucenia zgłoszenia przez IZ lub MF-R</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ind w:left="120"/>
              <w:rPr>
                <w:rStyle w:val="Bodytext13"/>
              </w:rPr>
            </w:pPr>
            <w:r w:rsidRPr="00E91351">
              <w:rPr>
                <w:rStyle w:val="Bodytext13"/>
              </w:rPr>
              <w:t>IMS</w:t>
            </w:r>
          </w:p>
          <w:p w:rsidR="008C6DA0" w:rsidRPr="00E91351" w:rsidRDefault="008C6DA0" w:rsidP="00A54E9E">
            <w:pPr>
              <w:framePr w:wrap="notBeside" w:vAnchor="text" w:hAnchor="text" w:xAlign="center" w:y="1"/>
              <w:ind w:left="120"/>
            </w:pPr>
          </w:p>
        </w:tc>
      </w:tr>
      <w:tr w:rsidR="008C6DA0" w:rsidRPr="00E91351" w:rsidTr="00A54E9E">
        <w:trPr>
          <w:trHeight w:val="442"/>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rPr>
                <w:rStyle w:val="Bodytext13"/>
              </w:rPr>
            </w:pPr>
            <w:r w:rsidRPr="00E91351">
              <w:rPr>
                <w:rStyle w:val="Bodytext13"/>
              </w:rPr>
              <w:t>Informacja o braku nieprawidłowości podlegającej zgłoszeniu do KE w danym kwartale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rPr>
                <w:rStyle w:val="Bodytext13"/>
              </w:rPr>
            </w:pPr>
            <w:r w:rsidRPr="00E91351">
              <w:rPr>
                <w:rStyle w:val="Bodytext13"/>
              </w:rPr>
              <w:t xml:space="preserve"> Do 30 dnia od dnia zakończenia danego kwartału</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ind w:left="120"/>
              <w:rPr>
                <w:rStyle w:val="Bodytext13"/>
              </w:rPr>
            </w:pPr>
            <w:r w:rsidRPr="00E91351">
              <w:rPr>
                <w:rStyle w:val="Bodytext13"/>
              </w:rPr>
              <w:t>e-mail, pismo do IZ</w:t>
            </w:r>
          </w:p>
        </w:tc>
      </w:tr>
      <w:tr w:rsidR="008C6DA0" w:rsidRPr="00E91351" w:rsidTr="00A54E9E">
        <w:trPr>
          <w:trHeight w:val="442"/>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rPr>
                <w:rStyle w:val="Bodytext13"/>
              </w:rPr>
            </w:pPr>
            <w:r w:rsidRPr="00E91351">
              <w:rPr>
                <w:rStyle w:val="Bodytext13"/>
              </w:rPr>
              <w:t>Zestawienie nieprawidłowości niepodlegających zgłoszeniu do KE lub Informacja o braku nieprawidłowości podlegającej zgłoszeniu do KE w danym kwartale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spacing w:line="206" w:lineRule="exact"/>
              <w:rPr>
                <w:rStyle w:val="Bodytext13"/>
              </w:rPr>
            </w:pPr>
            <w:r w:rsidRPr="00E91351">
              <w:rPr>
                <w:rStyle w:val="Bodytext13"/>
              </w:rPr>
              <w:t>Do 45 dnia od dnia zakończenia danego kwartału</w:t>
            </w: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8C6DA0" w:rsidRPr="00E91351" w:rsidRDefault="008C6DA0" w:rsidP="00A54E9E">
            <w:pPr>
              <w:framePr w:wrap="notBeside" w:vAnchor="text" w:hAnchor="text" w:xAlign="center" w:y="1"/>
              <w:ind w:left="120"/>
              <w:rPr>
                <w:rStyle w:val="Bodytext13"/>
              </w:rPr>
            </w:pPr>
            <w:r w:rsidRPr="00E91351">
              <w:rPr>
                <w:rStyle w:val="Bodytext13"/>
              </w:rPr>
              <w:t>e-mail, pismo do IZ</w:t>
            </w:r>
          </w:p>
        </w:tc>
      </w:tr>
    </w:tbl>
    <w:p w:rsidR="008C6DA0" w:rsidRPr="00E91351" w:rsidRDefault="008C6DA0" w:rsidP="008C6DA0">
      <w:pPr>
        <w:rPr>
          <w:sz w:val="2"/>
          <w:szCs w:val="2"/>
        </w:rPr>
      </w:pP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Powyższe terminy należy traktować jako nieprzekraczalne. Jeśli wskazana data wypada w dniu wolnym od pracy, obowiązuje termin ostatniego dnia roboczego</w:t>
      </w:r>
      <w:r w:rsidRPr="00E91351">
        <w:rPr>
          <w:rStyle w:val="BodytextBold"/>
          <w:rFonts w:ascii="Times New Roman" w:hAnsi="Times New Roman" w:cs="Times New Roman"/>
          <w:sz w:val="24"/>
          <w:szCs w:val="24"/>
        </w:rPr>
        <w:t xml:space="preserve"> przed tą datą.</w:t>
      </w:r>
    </w:p>
    <w:p w:rsidR="008C6DA0" w:rsidRPr="00E91351" w:rsidRDefault="008C6DA0" w:rsidP="008C6DA0">
      <w:pPr>
        <w:pStyle w:val="Tekstpodstawowy2"/>
        <w:shd w:val="clear" w:color="auto" w:fill="auto"/>
        <w:spacing w:before="0" w:after="64"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 xml:space="preserve">W przypadku niemożności terminowego wysłania przez MF-R do KE opóźnionych zgłoszeń otrzymanych od IZ w poprawnej wersji, ze względu na przekroczenie terminu wskazanego </w:t>
      </w:r>
      <w:r w:rsidRPr="00E91351">
        <w:rPr>
          <w:rFonts w:ascii="Times New Roman" w:hAnsi="Times New Roman" w:cs="Times New Roman"/>
          <w:sz w:val="24"/>
          <w:szCs w:val="24"/>
        </w:rPr>
        <w:br/>
        <w:t>w powyższej tabeli, zgłoszenia te zostaną odrzucone w systemie IMS z wnioskiem o ich przekazanie w następnym okresie sprawozdawczym.</w:t>
      </w:r>
    </w:p>
    <w:p w:rsidR="008C6DA0" w:rsidRPr="00E91351" w:rsidRDefault="008C6DA0" w:rsidP="008C6DA0">
      <w:pPr>
        <w:pStyle w:val="Tekstpodstawowy2"/>
        <w:shd w:val="clear" w:color="auto" w:fill="auto"/>
        <w:spacing w:before="0" w:after="56" w:line="264"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Instytucje informujące o nieprawidłowościach są zobowiązane do przestrzegania terminów dotyczących przekazywania zgłoszeń, ustalonych w niniejszej procedurze, aby zapewnić wywiązanie się Polski z terminów wyznaczonych w stosownych rozporządzeniach UE.</w:t>
      </w:r>
    </w:p>
    <w:p w:rsidR="008C6DA0" w:rsidRPr="00E91351" w:rsidRDefault="008C6DA0" w:rsidP="008C6DA0">
      <w:pPr>
        <w:pStyle w:val="Tekstpodstawowy2"/>
        <w:shd w:val="clear" w:color="auto" w:fill="auto"/>
        <w:spacing w:before="0" w:after="60" w:line="269" w:lineRule="exact"/>
        <w:ind w:right="20" w:firstLine="0"/>
        <w:jc w:val="both"/>
        <w:rPr>
          <w:rFonts w:ascii="Times New Roman" w:hAnsi="Times New Roman" w:cs="Times New Roman"/>
          <w:sz w:val="24"/>
          <w:szCs w:val="24"/>
        </w:rPr>
      </w:pPr>
      <w:r w:rsidRPr="00E91351">
        <w:rPr>
          <w:rFonts w:ascii="Times New Roman" w:hAnsi="Times New Roman" w:cs="Times New Roman"/>
          <w:sz w:val="24"/>
          <w:szCs w:val="24"/>
        </w:rPr>
        <w:t>Kwestia terminowego zgłaszania informacji o nieprawidłowościach przez państwa członkowskie jest ważna dla instytucji UE z punktu widzenia zwalczania nadużyć finansowych. W sprawozdaniach rocznych dotyczących ochrony interesów finansowych UE, KE dokonuje analiz odstępu czasowego, jaki występuje w poszczególnych przypadkach nieprawidłowości między faktycznym wystąpieniem nieprawidłowości, a momentem jej stwierdzenia, jak również między momentem stwierdzenia nieprawidłowości, a datą poinformowania o tym fakcie KE. Wyniki tych analiz są publikowane w sprawozdaniu rocznym przekazywanym do Parlamentu Europejskiego i Rady UE</w:t>
      </w:r>
      <w:r w:rsidRPr="00E91351">
        <w:rPr>
          <w:rFonts w:ascii="Times New Roman" w:hAnsi="Times New Roman" w:cs="Times New Roman"/>
          <w:sz w:val="24"/>
          <w:szCs w:val="24"/>
          <w:vertAlign w:val="superscript"/>
        </w:rPr>
        <w:footnoteReference w:id="1"/>
      </w:r>
      <w:r w:rsidRPr="00E91351">
        <w:rPr>
          <w:rFonts w:ascii="Times New Roman" w:hAnsi="Times New Roman" w:cs="Times New Roman"/>
          <w:sz w:val="24"/>
          <w:szCs w:val="24"/>
        </w:rPr>
        <w:t>. Od dyscypliny każdej instytucji raportującej zależy więc ogólna ocena Polski przez instytucje UE w kontekście wywiązywania się z zobowiązań określonych w art. 325 Traktatu o funkcjonowaniu Unii Europejskiej.</w:t>
      </w:r>
    </w:p>
    <w:p w:rsidR="008C6DA0" w:rsidRPr="00E91351" w:rsidRDefault="008C6DA0" w:rsidP="008C6DA0"/>
    <w:p w:rsidR="008C6DA0" w:rsidRPr="00E91351" w:rsidRDefault="008C6DA0" w:rsidP="008C6DA0">
      <w:pPr>
        <w:jc w:val="both"/>
        <w:rPr>
          <w:b/>
          <w:u w:val="single"/>
        </w:rPr>
      </w:pPr>
      <w:r w:rsidRPr="00E91351">
        <w:rPr>
          <w:b/>
          <w:u w:val="single"/>
        </w:rPr>
        <w:t xml:space="preserve">R.11 Sankcja wykluczenia z pomocy finansowej  dla działań obsługiwanych w ramach Priorytetu 4 </w:t>
      </w:r>
      <w:r w:rsidRPr="00E91351">
        <w:rPr>
          <w:b/>
          <w:caps/>
          <w:u w:val="single"/>
        </w:rPr>
        <w:t>PO "Rybactwo i Morze" 2014-2020</w:t>
      </w:r>
      <w:r w:rsidRPr="00E91351">
        <w:rPr>
          <w:caps/>
          <w:u w:val="single"/>
        </w:rPr>
        <w:t xml:space="preserve"> </w:t>
      </w:r>
    </w:p>
    <w:p w:rsidR="008C6DA0" w:rsidRPr="00E91351" w:rsidRDefault="008C6DA0" w:rsidP="008C6DA0">
      <w:pPr>
        <w:jc w:val="both"/>
        <w:rPr>
          <w:b/>
          <w:u w:val="single"/>
        </w:rPr>
      </w:pPr>
      <w:r w:rsidRPr="00E91351">
        <w:lastRenderedPageBreak/>
        <w:t>Zgodnie z art. 207 ust. 1 ustawy z dnia 27 sierpnia 2009 r. o finansach publicznych (Dz.U. z 2017 r. poz. 2077</w:t>
      </w:r>
      <w:r w:rsidRPr="00E91351">
        <w:rPr>
          <w:bCs/>
          <w:color w:val="000000"/>
        </w:rPr>
        <w:t>.</w:t>
      </w:r>
      <w:r w:rsidRPr="00E91351">
        <w:t>), zwanej dalej „u.f.p.”:</w:t>
      </w:r>
    </w:p>
    <w:p w:rsidR="008C6DA0" w:rsidRPr="00E91351" w:rsidRDefault="008C6DA0" w:rsidP="008C6DA0">
      <w:pPr>
        <w:spacing w:line="276" w:lineRule="auto"/>
        <w:jc w:val="both"/>
        <w:rPr>
          <w:i/>
        </w:rPr>
      </w:pPr>
      <w:r w:rsidRPr="00E91351">
        <w:rPr>
          <w:i/>
        </w:rPr>
        <w:t>„1. W przypadku gdy środki przeznaczone na realizację programów finansowanych z udziałem środków europejskich są:</w:t>
      </w:r>
    </w:p>
    <w:p w:rsidR="008C6DA0" w:rsidRPr="00E91351" w:rsidRDefault="008C6DA0" w:rsidP="008C6DA0">
      <w:pPr>
        <w:pStyle w:val="Akapitzlist"/>
        <w:numPr>
          <w:ilvl w:val="0"/>
          <w:numId w:val="6"/>
        </w:numPr>
        <w:spacing w:before="0" w:line="276" w:lineRule="auto"/>
        <w:jc w:val="both"/>
        <w:rPr>
          <w:i/>
        </w:rPr>
      </w:pPr>
      <w:r w:rsidRPr="00E91351">
        <w:rPr>
          <w:i/>
        </w:rPr>
        <w:t>wykorzystane niezgodnie z przeznaczeniem,</w:t>
      </w:r>
    </w:p>
    <w:p w:rsidR="008C6DA0" w:rsidRPr="00E91351" w:rsidRDefault="008C6DA0" w:rsidP="008C6DA0">
      <w:pPr>
        <w:pStyle w:val="Akapitzlist"/>
        <w:numPr>
          <w:ilvl w:val="0"/>
          <w:numId w:val="6"/>
        </w:numPr>
        <w:spacing w:before="0" w:line="276" w:lineRule="auto"/>
        <w:jc w:val="both"/>
        <w:rPr>
          <w:i/>
        </w:rPr>
      </w:pPr>
      <w:r w:rsidRPr="00E91351">
        <w:rPr>
          <w:i/>
        </w:rPr>
        <w:t xml:space="preserve">wykorzystane z naruszeniem procedur, o których mowa w </w:t>
      </w:r>
      <w:hyperlink r:id="rId15" w:anchor="LPA-LP_QL:[{" w:history="1">
        <w:r w:rsidRPr="00E91351">
          <w:rPr>
            <w:i/>
          </w:rPr>
          <w:t>art. 184</w:t>
        </w:r>
      </w:hyperlink>
      <w:r w:rsidRPr="00E91351">
        <w:rPr>
          <w:i/>
        </w:rPr>
        <w:t>,</w:t>
      </w:r>
    </w:p>
    <w:p w:rsidR="008C6DA0" w:rsidRPr="00E91351" w:rsidRDefault="008C6DA0" w:rsidP="008C6DA0">
      <w:pPr>
        <w:pStyle w:val="Akapitzlist"/>
        <w:numPr>
          <w:ilvl w:val="0"/>
          <w:numId w:val="6"/>
        </w:numPr>
        <w:spacing w:before="0" w:line="276" w:lineRule="auto"/>
        <w:jc w:val="both"/>
        <w:rPr>
          <w:i/>
        </w:rPr>
      </w:pPr>
      <w:r w:rsidRPr="00E91351">
        <w:rPr>
          <w:i/>
        </w:rPr>
        <w:t>pobrane nienależnie lub w nadmiernej wysokości,</w:t>
      </w:r>
    </w:p>
    <w:p w:rsidR="008C6DA0" w:rsidRPr="00E91351" w:rsidRDefault="008C6DA0" w:rsidP="008C6DA0">
      <w:pPr>
        <w:spacing w:line="276" w:lineRule="auto"/>
        <w:jc w:val="both"/>
        <w:rPr>
          <w:i/>
        </w:rPr>
      </w:pPr>
      <w:r w:rsidRPr="00E91351">
        <w:rPr>
          <w:i/>
        </w:rPr>
        <w:t>podlegają zwrotowi wraz z odsetkami w wysokości określonej jak dla zaległości podatkowych, liczonymi od dnia przekazania środków, w terminie 14 dni od dnia, w którym decyzja, o której mowa w ust. 9, stała się ostateczna, na wskazany w tej decyzji rachunek bankowy (…)”</w:t>
      </w:r>
    </w:p>
    <w:p w:rsidR="008C6DA0" w:rsidRPr="00E91351" w:rsidRDefault="008C6DA0" w:rsidP="008C6DA0">
      <w:pPr>
        <w:pStyle w:val="Akapitzlist"/>
        <w:spacing w:line="276" w:lineRule="auto"/>
        <w:ind w:left="0"/>
        <w:jc w:val="both"/>
        <w:rPr>
          <w:b/>
        </w:rPr>
      </w:pPr>
      <w:r w:rsidRPr="00E91351">
        <w:t>Art. 207 ust. 4 u.f.p. wskazuje możliwe przesłanki powodujące wykluczenie beneficjenta z możliwości otrzymania środków:</w:t>
      </w:r>
    </w:p>
    <w:p w:rsidR="008C6DA0" w:rsidRPr="00E91351" w:rsidRDefault="008C6DA0" w:rsidP="008C6DA0">
      <w:pPr>
        <w:spacing w:line="276" w:lineRule="auto"/>
        <w:jc w:val="both"/>
        <w:rPr>
          <w:i/>
        </w:rPr>
      </w:pPr>
      <w:r w:rsidRPr="00E91351">
        <w:rPr>
          <w:i/>
        </w:rPr>
        <w:t>„4.  W przypadku, o którym mowa w ust. 1, beneficjent zostaje wykluczony z możliwości otrzymania środków, o których mowa w ust. 1, jeżeli:</w:t>
      </w:r>
    </w:p>
    <w:p w:rsidR="008C6DA0" w:rsidRPr="00E91351" w:rsidRDefault="008C6DA0" w:rsidP="008C6DA0">
      <w:pPr>
        <w:pStyle w:val="Akapitzlist"/>
        <w:numPr>
          <w:ilvl w:val="0"/>
          <w:numId w:val="7"/>
        </w:numPr>
        <w:spacing w:before="0" w:line="276" w:lineRule="auto"/>
        <w:jc w:val="both"/>
        <w:rPr>
          <w:i/>
        </w:rPr>
      </w:pPr>
      <w:r w:rsidRPr="00E91351">
        <w:rPr>
          <w:b/>
          <w:i/>
        </w:rPr>
        <w:t>otrzymał płatność na podstawie przedstawionych jako autentyczne dokumentów podrobionych lub przerobionych lub dokumentów potwierdzających nieprawdę,</w:t>
      </w:r>
      <w:r w:rsidRPr="00E91351">
        <w:rPr>
          <w:i/>
        </w:rPr>
        <w:t xml:space="preserve"> lub</w:t>
      </w:r>
    </w:p>
    <w:p w:rsidR="008C6DA0" w:rsidRPr="00E91351" w:rsidRDefault="008C6DA0" w:rsidP="008C6DA0">
      <w:pPr>
        <w:pStyle w:val="Akapitzlist"/>
        <w:numPr>
          <w:ilvl w:val="0"/>
          <w:numId w:val="7"/>
        </w:numPr>
        <w:spacing w:before="0" w:line="276" w:lineRule="auto"/>
        <w:jc w:val="both"/>
        <w:rPr>
          <w:i/>
        </w:rPr>
      </w:pPr>
      <w:r w:rsidRPr="00E91351">
        <w:rPr>
          <w:i/>
        </w:rPr>
        <w:t>(uchylony)</w:t>
      </w:r>
    </w:p>
    <w:p w:rsidR="008C6DA0" w:rsidRPr="00E91351" w:rsidRDefault="008C6DA0" w:rsidP="008C6DA0">
      <w:pPr>
        <w:pStyle w:val="Akapitzlist"/>
        <w:numPr>
          <w:ilvl w:val="0"/>
          <w:numId w:val="7"/>
        </w:numPr>
        <w:spacing w:before="0" w:line="276" w:lineRule="auto"/>
        <w:jc w:val="both"/>
        <w:rPr>
          <w:i/>
        </w:rPr>
      </w:pPr>
      <w:r w:rsidRPr="00E91351">
        <w:rPr>
          <w:b/>
          <w:i/>
        </w:rPr>
        <w:t>nie zwrócił środków w terminie, o którym mowa w ust. 1</w:t>
      </w:r>
      <w:r w:rsidRPr="00E91351">
        <w:rPr>
          <w:i/>
        </w:rPr>
        <w:t>, lub</w:t>
      </w:r>
    </w:p>
    <w:p w:rsidR="008C6DA0" w:rsidRPr="00E91351" w:rsidRDefault="008C6DA0" w:rsidP="008C6DA0">
      <w:pPr>
        <w:pStyle w:val="Akapitzlist"/>
        <w:numPr>
          <w:ilvl w:val="0"/>
          <w:numId w:val="7"/>
        </w:numPr>
        <w:spacing w:before="0" w:line="276" w:lineRule="auto"/>
        <w:jc w:val="both"/>
        <w:rPr>
          <w:i/>
        </w:rPr>
      </w:pPr>
      <w:r w:rsidRPr="00E91351">
        <w:rPr>
          <w:b/>
          <w:i/>
        </w:rPr>
        <w:t>okoliczności, o których mowa w art. 207 ust. 1, wystąpiły wskutek popełnienia przestępstwa przez beneficjenta, partnera, podmiot upoważniony do dokonywania wydatków, a w przypadku gdy podmioty te nie są osobami fizycznymi - osobę uprawnioną do wykonywania w ramach projektu czynności w imieniu beneficjenta, przy czym fakt popełnienia przestępstwa przez wyżej wymienione podmioty został potwierdzony prawomocnym wyrokiem sądowym</w:t>
      </w:r>
      <w:r w:rsidRPr="00E91351">
        <w:rPr>
          <w:i/>
        </w:rPr>
        <w:t>.”</w:t>
      </w:r>
    </w:p>
    <w:p w:rsidR="008C6DA0" w:rsidRPr="00E91351" w:rsidRDefault="008C6DA0" w:rsidP="008C6DA0">
      <w:pPr>
        <w:spacing w:line="276" w:lineRule="auto"/>
        <w:jc w:val="both"/>
      </w:pPr>
      <w:r w:rsidRPr="00E91351">
        <w:t xml:space="preserve">Minister Finansów, zgodnie art. 210 u.f.p., prowadzi </w:t>
      </w:r>
      <w:r w:rsidRPr="00E91351">
        <w:rPr>
          <w:bCs/>
        </w:rPr>
        <w:t>rejestr podmiotów</w:t>
      </w:r>
      <w:r w:rsidRPr="00E91351">
        <w:t xml:space="preserve"> wykluczonych na podstawie art. 207 ustawy, oraz udostępnia te informacje instytucjom zarządzającym, instytucjom pośredniczącym, instytucjom wdrażającym i instytucji certyfikującej a także beneficjentom w zakresie ich własnego statusu.</w:t>
      </w:r>
    </w:p>
    <w:p w:rsidR="008C6DA0" w:rsidRPr="00E91351" w:rsidRDefault="008C6DA0" w:rsidP="008C6DA0">
      <w:pPr>
        <w:spacing w:line="276" w:lineRule="auto"/>
        <w:jc w:val="both"/>
      </w:pPr>
      <w:r w:rsidRPr="00E91351">
        <w:t>Na podstawie delegacji ustawowej, zawartej w art. 210 ust. 2 u.f.p. zostało wydane </w:t>
      </w:r>
      <w:hyperlink r:id="rId16" w:anchor="/dokument/17630848" w:history="1">
        <w:r w:rsidRPr="00E91351">
          <w:rPr>
            <w:rStyle w:val="Hipercze"/>
          </w:rPr>
          <w:t>rozporządzenie</w:t>
        </w:r>
      </w:hyperlink>
      <w:r w:rsidRPr="00E91351">
        <w:t> Ministra Finansów z dnia 18 stycznia 2018 w sprawie rejestru podmiotów wykluczonych z możliwości otrzymania środków przeznaczonych na realizację programów finansowanych z udziałem środków europejskich (Dz. U. z 2018 poz. 307).</w:t>
      </w:r>
    </w:p>
    <w:p w:rsidR="008C6DA0" w:rsidRPr="00E91351" w:rsidRDefault="008C6DA0" w:rsidP="008C6DA0">
      <w:pPr>
        <w:spacing w:line="276" w:lineRule="auto"/>
        <w:jc w:val="both"/>
      </w:pPr>
      <w:r w:rsidRPr="00E91351">
        <w:t>Akt ten określa:</w:t>
      </w:r>
    </w:p>
    <w:p w:rsidR="008C6DA0" w:rsidRPr="00E91351" w:rsidRDefault="008C6DA0" w:rsidP="008C6DA0">
      <w:pPr>
        <w:pStyle w:val="Akapitzlist"/>
        <w:spacing w:before="0" w:line="276" w:lineRule="auto"/>
        <w:ind w:left="0"/>
        <w:jc w:val="both"/>
      </w:pPr>
      <w:r w:rsidRPr="00E91351">
        <w:t xml:space="preserve">1) sposób i tryb wpisywania podmiotów wykluczonych do rejestru; </w:t>
      </w:r>
    </w:p>
    <w:p w:rsidR="008C6DA0" w:rsidRPr="00E91351" w:rsidRDefault="008C6DA0" w:rsidP="008C6DA0">
      <w:pPr>
        <w:pStyle w:val="Akapitzlist"/>
        <w:spacing w:line="276" w:lineRule="auto"/>
        <w:ind w:left="0"/>
        <w:jc w:val="both"/>
      </w:pPr>
      <w:r w:rsidRPr="00E91351">
        <w:t xml:space="preserve">2) wzór formularza zgłoszenia podmiotu podlegającego wpisowi do rejestru; </w:t>
      </w:r>
    </w:p>
    <w:p w:rsidR="008C6DA0" w:rsidRPr="00E91351" w:rsidRDefault="008C6DA0" w:rsidP="008C6DA0">
      <w:pPr>
        <w:pStyle w:val="Akapitzlist"/>
        <w:spacing w:line="276" w:lineRule="auto"/>
        <w:ind w:left="0"/>
        <w:jc w:val="both"/>
      </w:pPr>
      <w:r w:rsidRPr="00E91351">
        <w:t xml:space="preserve">3) zakres przedmiotowy informacji, które będą zawarte w rejestrze; </w:t>
      </w:r>
    </w:p>
    <w:p w:rsidR="008C6DA0" w:rsidRPr="00E91351" w:rsidRDefault="008C6DA0" w:rsidP="008C6DA0">
      <w:pPr>
        <w:pStyle w:val="Akapitzlist"/>
        <w:spacing w:line="276" w:lineRule="auto"/>
        <w:ind w:left="0"/>
        <w:jc w:val="both"/>
      </w:pPr>
      <w:r w:rsidRPr="00E91351">
        <w:t xml:space="preserve">4) sposób i tryb uzyskiwania informacji z rejestru; </w:t>
      </w:r>
    </w:p>
    <w:p w:rsidR="008C6DA0" w:rsidRPr="00E91351" w:rsidRDefault="008C6DA0" w:rsidP="008C6DA0">
      <w:pPr>
        <w:pStyle w:val="Akapitzlist"/>
        <w:spacing w:line="276" w:lineRule="auto"/>
        <w:ind w:left="0"/>
        <w:jc w:val="both"/>
      </w:pPr>
      <w:r w:rsidRPr="00E91351">
        <w:t xml:space="preserve">5) tryb przekazywania informacji zawartych w rejestrze; </w:t>
      </w:r>
    </w:p>
    <w:p w:rsidR="008C6DA0" w:rsidRPr="00E91351" w:rsidRDefault="008C6DA0" w:rsidP="008C6DA0">
      <w:pPr>
        <w:pStyle w:val="Akapitzlist"/>
        <w:spacing w:line="276" w:lineRule="auto"/>
        <w:ind w:left="0"/>
        <w:jc w:val="both"/>
      </w:pPr>
      <w:r w:rsidRPr="00E91351">
        <w:t>6) sposób i tryb dokonywania zmian w rejestrze.</w:t>
      </w:r>
    </w:p>
    <w:p w:rsidR="008C6DA0" w:rsidRPr="00E91351" w:rsidRDefault="008C6DA0" w:rsidP="008C6DA0">
      <w:pPr>
        <w:pStyle w:val="Akapitzlist"/>
        <w:spacing w:line="276" w:lineRule="auto"/>
        <w:ind w:left="0"/>
        <w:jc w:val="both"/>
      </w:pPr>
    </w:p>
    <w:p w:rsidR="008C6DA0" w:rsidRPr="00E91351" w:rsidRDefault="008C6DA0" w:rsidP="008C6DA0">
      <w:pPr>
        <w:pStyle w:val="Akapitzlist"/>
        <w:spacing w:line="276" w:lineRule="auto"/>
        <w:ind w:left="0"/>
        <w:jc w:val="both"/>
        <w:rPr>
          <w:b/>
        </w:rPr>
      </w:pPr>
      <w:r w:rsidRPr="00E91351">
        <w:rPr>
          <w:b/>
        </w:rPr>
        <w:t xml:space="preserve">W związku z tym dla działań objętych </w:t>
      </w:r>
      <w:r w:rsidRPr="00E91351">
        <w:rPr>
          <w:b/>
          <w:color w:val="000000"/>
        </w:rPr>
        <w:t>Priorytetem  4 „</w:t>
      </w:r>
      <w:r w:rsidRPr="00E91351">
        <w:rPr>
          <w:b/>
          <w:i/>
          <w:color w:val="000000"/>
        </w:rPr>
        <w:t>Zwiększanie zatrudnienia i spójności terytorialnej</w:t>
      </w:r>
      <w:r w:rsidRPr="00E91351">
        <w:rPr>
          <w:b/>
          <w:color w:val="000000"/>
        </w:rPr>
        <w:t xml:space="preserve">”, zawartego w Programie Operacyjnym Rybactwo i Morze na lata 2014-2020 </w:t>
      </w:r>
      <w:r w:rsidRPr="00E91351">
        <w:rPr>
          <w:b/>
        </w:rPr>
        <w:t xml:space="preserve">w sprawach dotyczących wykluczeń należy postępować zgodnie z ww. przepisami. </w:t>
      </w:r>
    </w:p>
    <w:p w:rsidR="008C6DA0" w:rsidRPr="00E91351" w:rsidRDefault="008C6DA0" w:rsidP="008C6DA0">
      <w:pPr>
        <w:pStyle w:val="Akapitzlist"/>
        <w:spacing w:line="276" w:lineRule="auto"/>
        <w:ind w:left="0"/>
        <w:jc w:val="both"/>
        <w:rPr>
          <w:b/>
        </w:rPr>
      </w:pPr>
      <w:r w:rsidRPr="00E91351">
        <w:rPr>
          <w:b/>
        </w:rPr>
        <w:t>Natomiast w K-1/446 – pytanie nr 3 należy wskazać właściwą odpowiedź.</w:t>
      </w:r>
    </w:p>
    <w:p w:rsidR="008C6DA0" w:rsidRPr="00E91351" w:rsidRDefault="008C6DA0" w:rsidP="008C6DA0">
      <w:pPr>
        <w:pStyle w:val="Akapitzlist"/>
        <w:spacing w:line="276" w:lineRule="auto"/>
        <w:ind w:left="0"/>
        <w:jc w:val="both"/>
        <w:rPr>
          <w:b/>
        </w:rPr>
      </w:pPr>
    </w:p>
    <w:p w:rsidR="008C6DA0" w:rsidRPr="00E91351" w:rsidRDefault="008C6DA0" w:rsidP="008C6DA0">
      <w:pPr>
        <w:pStyle w:val="Akapitzlist"/>
        <w:spacing w:line="276" w:lineRule="auto"/>
        <w:ind w:left="0"/>
        <w:jc w:val="both"/>
        <w:rPr>
          <w:b/>
        </w:rPr>
      </w:pPr>
    </w:p>
    <w:p w:rsidR="00391BB8" w:rsidRDefault="00391BB8">
      <w:pPr>
        <w:jc w:val="both"/>
        <w:rPr>
          <w:color w:val="000000"/>
        </w:rPr>
      </w:pPr>
    </w:p>
    <w:p w:rsidR="00391BB8" w:rsidRDefault="00A54E9E">
      <w:pPr>
        <w:jc w:val="both"/>
        <w:rPr>
          <w:color w:val="000000"/>
        </w:rPr>
      </w:pPr>
      <w:r>
        <w:rPr>
          <w:color w:val="000000"/>
        </w:rPr>
        <w:t xml:space="preserve"> </w:t>
      </w:r>
    </w:p>
    <w:p w:rsidR="00391BB8" w:rsidRDefault="00A54E9E">
      <w:pPr>
        <w:jc w:val="both"/>
        <w:rPr>
          <w:color w:val="000000"/>
        </w:rPr>
      </w:pPr>
      <w:r>
        <w:rPr>
          <w:color w:val="000000"/>
        </w:rPr>
        <w:t xml:space="preserve"> </w:t>
      </w:r>
    </w:p>
    <w:p w:rsidR="00391BB8" w:rsidRDefault="00A54E9E">
      <w:pPr>
        <w:jc w:val="both"/>
        <w:rPr>
          <w:color w:val="000000"/>
        </w:rPr>
      </w:pPr>
      <w:r>
        <w:rPr>
          <w:color w:val="000000"/>
        </w:rPr>
        <w:t xml:space="preserve"> </w:t>
      </w:r>
    </w:p>
    <w:p w:rsidR="00391BB8" w:rsidRDefault="00391BB8">
      <w:pPr>
        <w:jc w:val="both"/>
        <w:rPr>
          <w:color w:val="000000"/>
        </w:rPr>
      </w:pPr>
    </w:p>
    <w:p w:rsidR="00391BB8" w:rsidRDefault="00A54E9E">
      <w:pPr>
        <w:jc w:val="both"/>
        <w:rPr>
          <w:color w:val="000000"/>
        </w:rPr>
      </w:pPr>
      <w:r>
        <w:rPr>
          <w:color w:val="000000"/>
        </w:rPr>
        <w:t xml:space="preserve"> </w:t>
      </w:r>
    </w:p>
    <w:p w:rsidR="00391BB8" w:rsidRDefault="00A54E9E">
      <w:pPr>
        <w:jc w:val="both"/>
        <w:rPr>
          <w:color w:val="000000"/>
        </w:rPr>
      </w:pPr>
      <w:r>
        <w:rPr>
          <w:color w:val="000000"/>
        </w:rPr>
        <w:t xml:space="preserve">           </w:t>
      </w:r>
    </w:p>
    <w:p w:rsidR="00391BB8" w:rsidRDefault="00391BB8">
      <w:pPr>
        <w:rPr>
          <w:color w:val="000000"/>
          <w:sz w:val="28"/>
        </w:rPr>
      </w:pPr>
    </w:p>
    <w:p w:rsidR="00391BB8" w:rsidRDefault="00A54E9E">
      <w:pPr>
        <w:pStyle w:val="Nagwek3"/>
      </w:pPr>
      <w:bookmarkStart w:id="20" w:name="_Toc1019"/>
      <w:bookmarkStart w:id="21" w:name="_Toc512251953"/>
      <w:r>
        <w:t>Załączniki</w:t>
      </w:r>
      <w:bookmarkEnd w:id="20"/>
      <w:bookmarkEnd w:id="21"/>
    </w:p>
    <w:p w:rsidR="008C6DA0" w:rsidRPr="00E91351" w:rsidRDefault="008C6DA0" w:rsidP="008C6D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4"/>
        <w:gridCol w:w="3631"/>
        <w:gridCol w:w="3510"/>
      </w:tblGrid>
      <w:tr w:rsidR="008C6DA0" w:rsidRPr="00E91351" w:rsidTr="00A54E9E">
        <w:trPr>
          <w:jc w:val="center"/>
        </w:trPr>
        <w:tc>
          <w:tcPr>
            <w:tcW w:w="1314" w:type="dxa"/>
            <w:tcBorders>
              <w:bottom w:val="single" w:sz="4" w:space="0" w:color="auto"/>
            </w:tcBorders>
            <w:vAlign w:val="center"/>
          </w:tcPr>
          <w:p w:rsidR="008C6DA0" w:rsidRPr="00E91351" w:rsidRDefault="008C6DA0" w:rsidP="00A54E9E">
            <w:pPr>
              <w:jc w:val="center"/>
            </w:pPr>
            <w:r w:rsidRPr="00E91351">
              <w:t>1</w:t>
            </w:r>
          </w:p>
        </w:tc>
        <w:tc>
          <w:tcPr>
            <w:tcW w:w="3631" w:type="dxa"/>
            <w:tcBorders>
              <w:bottom w:val="single" w:sz="4" w:space="0" w:color="auto"/>
            </w:tcBorders>
            <w:vAlign w:val="center"/>
          </w:tcPr>
          <w:p w:rsidR="008C6DA0" w:rsidRPr="00E91351" w:rsidRDefault="008C6DA0" w:rsidP="00A54E9E">
            <w:pPr>
              <w:jc w:val="center"/>
            </w:pPr>
            <w:r w:rsidRPr="00E91351">
              <w:t>2</w:t>
            </w:r>
          </w:p>
        </w:tc>
        <w:tc>
          <w:tcPr>
            <w:tcW w:w="3510" w:type="dxa"/>
            <w:tcBorders>
              <w:bottom w:val="single" w:sz="4" w:space="0" w:color="auto"/>
            </w:tcBorders>
            <w:vAlign w:val="center"/>
          </w:tcPr>
          <w:p w:rsidR="008C6DA0" w:rsidRPr="00E91351" w:rsidRDefault="008C6DA0" w:rsidP="00A54E9E">
            <w:pPr>
              <w:jc w:val="center"/>
            </w:pPr>
            <w:r w:rsidRPr="00E91351">
              <w:t>3</w:t>
            </w:r>
          </w:p>
        </w:tc>
      </w:tr>
      <w:tr w:rsidR="008C6DA0" w:rsidRPr="00E91351" w:rsidTr="00A54E9E">
        <w:trPr>
          <w:trHeight w:val="741"/>
          <w:jc w:val="center"/>
        </w:trPr>
        <w:tc>
          <w:tcPr>
            <w:tcW w:w="1314" w:type="dxa"/>
            <w:shd w:val="clear" w:color="auto" w:fill="E0E0E0"/>
            <w:vAlign w:val="center"/>
          </w:tcPr>
          <w:p w:rsidR="008C6DA0" w:rsidRPr="00E91351" w:rsidRDefault="008C6DA0" w:rsidP="00A54E9E">
            <w:pPr>
              <w:jc w:val="center"/>
              <w:rPr>
                <w:b/>
              </w:rPr>
            </w:pPr>
            <w:r w:rsidRPr="00E91351">
              <w:rPr>
                <w:b/>
              </w:rPr>
              <w:t>Symbol dokumentu</w:t>
            </w:r>
          </w:p>
        </w:tc>
        <w:tc>
          <w:tcPr>
            <w:tcW w:w="3631" w:type="dxa"/>
            <w:shd w:val="clear" w:color="auto" w:fill="E0E0E0"/>
            <w:vAlign w:val="center"/>
          </w:tcPr>
          <w:p w:rsidR="008C6DA0" w:rsidRPr="00E91351" w:rsidRDefault="008C6DA0" w:rsidP="00A54E9E">
            <w:pPr>
              <w:jc w:val="center"/>
              <w:rPr>
                <w:b/>
              </w:rPr>
            </w:pPr>
            <w:r w:rsidRPr="00E91351">
              <w:rPr>
                <w:b/>
              </w:rPr>
              <w:t>Nazwa</w:t>
            </w:r>
          </w:p>
        </w:tc>
        <w:tc>
          <w:tcPr>
            <w:tcW w:w="3510" w:type="dxa"/>
            <w:shd w:val="clear" w:color="auto" w:fill="E0E0E0"/>
            <w:vAlign w:val="center"/>
          </w:tcPr>
          <w:p w:rsidR="008C6DA0" w:rsidRPr="00E91351" w:rsidRDefault="008C6DA0" w:rsidP="00A54E9E">
            <w:pPr>
              <w:jc w:val="center"/>
              <w:rPr>
                <w:b/>
              </w:rPr>
            </w:pPr>
            <w:r w:rsidRPr="00E91351">
              <w:rPr>
                <w:b/>
              </w:rPr>
              <w:t>Opis dokumentu</w:t>
            </w:r>
          </w:p>
        </w:tc>
      </w:tr>
      <w:tr w:rsidR="008C6DA0" w:rsidRPr="00E91351" w:rsidTr="00A54E9E">
        <w:trPr>
          <w:trHeight w:val="454"/>
          <w:jc w:val="center"/>
        </w:trPr>
        <w:tc>
          <w:tcPr>
            <w:tcW w:w="1314" w:type="dxa"/>
            <w:vAlign w:val="center"/>
          </w:tcPr>
          <w:p w:rsidR="008C6DA0" w:rsidRPr="00E50FFF" w:rsidRDefault="008C6DA0" w:rsidP="00A54E9E">
            <w:pPr>
              <w:jc w:val="center"/>
              <w:rPr>
                <w:sz w:val="18"/>
                <w:szCs w:val="18"/>
              </w:rPr>
            </w:pPr>
            <w:r w:rsidRPr="00E50FFF">
              <w:rPr>
                <w:sz w:val="18"/>
                <w:szCs w:val="18"/>
              </w:rPr>
              <w:t>K-1/446</w:t>
            </w:r>
          </w:p>
        </w:tc>
        <w:tc>
          <w:tcPr>
            <w:tcW w:w="3631" w:type="dxa"/>
            <w:vAlign w:val="center"/>
          </w:tcPr>
          <w:p w:rsidR="008C6DA0" w:rsidRPr="00E50FFF" w:rsidRDefault="008C6DA0" w:rsidP="00A54E9E">
            <w:pPr>
              <w:jc w:val="center"/>
              <w:rPr>
                <w:sz w:val="18"/>
                <w:szCs w:val="18"/>
              </w:rPr>
            </w:pPr>
            <w:r w:rsidRPr="00E50FFF">
              <w:rPr>
                <w:sz w:val="18"/>
                <w:szCs w:val="18"/>
              </w:rPr>
              <w:t>Karta rozpatrywania i stwierdzania nieprawidłowości</w:t>
            </w:r>
          </w:p>
        </w:tc>
        <w:tc>
          <w:tcPr>
            <w:tcW w:w="3510" w:type="dxa"/>
            <w:vAlign w:val="center"/>
          </w:tcPr>
          <w:p w:rsidR="008C6DA0" w:rsidRPr="00E50FFF" w:rsidRDefault="008C6DA0" w:rsidP="00A54E9E">
            <w:pPr>
              <w:jc w:val="center"/>
              <w:rPr>
                <w:sz w:val="18"/>
                <w:szCs w:val="18"/>
              </w:rPr>
            </w:pPr>
            <w:r w:rsidRPr="00E50FFF">
              <w:rPr>
                <w:sz w:val="18"/>
                <w:szCs w:val="18"/>
              </w:rPr>
              <w:t>Wzór karty</w:t>
            </w:r>
          </w:p>
        </w:tc>
      </w:tr>
      <w:tr w:rsidR="008C6DA0" w:rsidRPr="00E91351" w:rsidTr="00A54E9E">
        <w:trPr>
          <w:trHeight w:val="477"/>
          <w:jc w:val="center"/>
        </w:trPr>
        <w:tc>
          <w:tcPr>
            <w:tcW w:w="1314" w:type="dxa"/>
            <w:vAlign w:val="center"/>
          </w:tcPr>
          <w:p w:rsidR="008C6DA0" w:rsidRPr="00E50FFF" w:rsidRDefault="008C6DA0" w:rsidP="00A54E9E">
            <w:pPr>
              <w:jc w:val="center"/>
              <w:rPr>
                <w:sz w:val="18"/>
                <w:szCs w:val="18"/>
              </w:rPr>
            </w:pPr>
            <w:r w:rsidRPr="00E50FFF">
              <w:rPr>
                <w:sz w:val="18"/>
                <w:szCs w:val="18"/>
              </w:rPr>
              <w:t>ZN-1/446</w:t>
            </w:r>
          </w:p>
        </w:tc>
        <w:tc>
          <w:tcPr>
            <w:tcW w:w="3631" w:type="dxa"/>
            <w:vAlign w:val="center"/>
          </w:tcPr>
          <w:p w:rsidR="008C6DA0" w:rsidRPr="00E50FFF" w:rsidRDefault="008C6DA0" w:rsidP="00A54E9E">
            <w:pPr>
              <w:jc w:val="center"/>
              <w:rPr>
                <w:sz w:val="18"/>
                <w:szCs w:val="18"/>
              </w:rPr>
            </w:pPr>
            <w:r w:rsidRPr="00E50FFF">
              <w:rPr>
                <w:sz w:val="18"/>
                <w:szCs w:val="18"/>
              </w:rPr>
              <w:t>Kwartalne zestawienie nieprawidłowości niepodlegających raportowaniu do KE</w:t>
            </w:r>
          </w:p>
        </w:tc>
        <w:tc>
          <w:tcPr>
            <w:tcW w:w="3510" w:type="dxa"/>
            <w:vAlign w:val="center"/>
          </w:tcPr>
          <w:p w:rsidR="008C6DA0" w:rsidRPr="00E50FFF" w:rsidRDefault="008C6DA0" w:rsidP="00A54E9E">
            <w:pPr>
              <w:jc w:val="center"/>
              <w:rPr>
                <w:sz w:val="18"/>
                <w:szCs w:val="18"/>
              </w:rPr>
            </w:pPr>
            <w:r w:rsidRPr="00E50FFF">
              <w:rPr>
                <w:sz w:val="18"/>
                <w:szCs w:val="18"/>
              </w:rPr>
              <w:t>Wzór formularza</w:t>
            </w:r>
          </w:p>
        </w:tc>
      </w:tr>
      <w:tr w:rsidR="008C6DA0" w:rsidRPr="00E91351" w:rsidTr="00A54E9E">
        <w:trPr>
          <w:trHeight w:val="454"/>
          <w:jc w:val="center"/>
        </w:trPr>
        <w:tc>
          <w:tcPr>
            <w:tcW w:w="1314" w:type="dxa"/>
            <w:vAlign w:val="center"/>
          </w:tcPr>
          <w:p w:rsidR="008C6DA0" w:rsidRPr="00E50FFF" w:rsidRDefault="008C6DA0" w:rsidP="00A54E9E">
            <w:pPr>
              <w:jc w:val="center"/>
              <w:rPr>
                <w:sz w:val="18"/>
                <w:szCs w:val="18"/>
              </w:rPr>
            </w:pPr>
            <w:r w:rsidRPr="00E50FFF">
              <w:rPr>
                <w:sz w:val="18"/>
                <w:szCs w:val="18"/>
              </w:rPr>
              <w:t>I-1/446</w:t>
            </w:r>
          </w:p>
        </w:tc>
        <w:tc>
          <w:tcPr>
            <w:tcW w:w="3631" w:type="dxa"/>
            <w:vAlign w:val="center"/>
          </w:tcPr>
          <w:p w:rsidR="008C6DA0" w:rsidRPr="00E50FFF" w:rsidRDefault="008C6DA0" w:rsidP="00A54E9E">
            <w:pPr>
              <w:jc w:val="center"/>
              <w:rPr>
                <w:sz w:val="18"/>
                <w:szCs w:val="18"/>
              </w:rPr>
            </w:pPr>
            <w:r w:rsidRPr="00E50FFF">
              <w:rPr>
                <w:sz w:val="18"/>
                <w:szCs w:val="18"/>
              </w:rPr>
              <w:t>Instrukcja sporządzania kwartalnego zestawienia nieprawidłowości niepodlegających raportowaniu do KE</w:t>
            </w:r>
          </w:p>
        </w:tc>
        <w:tc>
          <w:tcPr>
            <w:tcW w:w="3510" w:type="dxa"/>
            <w:vAlign w:val="center"/>
          </w:tcPr>
          <w:p w:rsidR="008C6DA0" w:rsidRPr="00E50FFF" w:rsidRDefault="008C6DA0" w:rsidP="00A54E9E">
            <w:pPr>
              <w:jc w:val="center"/>
              <w:rPr>
                <w:sz w:val="18"/>
                <w:szCs w:val="18"/>
              </w:rPr>
            </w:pPr>
            <w:r w:rsidRPr="00E50FFF">
              <w:rPr>
                <w:sz w:val="18"/>
                <w:szCs w:val="18"/>
              </w:rPr>
              <w:t>Instrukcja</w:t>
            </w:r>
          </w:p>
          <w:p w:rsidR="008C6DA0" w:rsidRPr="00E50FFF" w:rsidRDefault="008C6DA0" w:rsidP="00A54E9E">
            <w:pPr>
              <w:jc w:val="center"/>
              <w:rPr>
                <w:sz w:val="18"/>
                <w:szCs w:val="18"/>
              </w:rPr>
            </w:pPr>
          </w:p>
        </w:tc>
      </w:tr>
      <w:tr w:rsidR="008C6DA0" w:rsidRPr="00E91351" w:rsidTr="00A54E9E">
        <w:trPr>
          <w:trHeight w:val="454"/>
          <w:jc w:val="center"/>
        </w:trPr>
        <w:tc>
          <w:tcPr>
            <w:tcW w:w="1314" w:type="dxa"/>
            <w:vAlign w:val="center"/>
          </w:tcPr>
          <w:p w:rsidR="008C6DA0" w:rsidRPr="00E50FFF" w:rsidRDefault="008C6DA0" w:rsidP="00A54E9E">
            <w:pPr>
              <w:jc w:val="center"/>
              <w:rPr>
                <w:sz w:val="18"/>
                <w:szCs w:val="18"/>
              </w:rPr>
            </w:pPr>
            <w:r w:rsidRPr="00E50FFF">
              <w:rPr>
                <w:sz w:val="18"/>
                <w:szCs w:val="18"/>
              </w:rPr>
              <w:t>I-2/446</w:t>
            </w:r>
          </w:p>
        </w:tc>
        <w:tc>
          <w:tcPr>
            <w:tcW w:w="3631" w:type="dxa"/>
            <w:vAlign w:val="center"/>
          </w:tcPr>
          <w:p w:rsidR="008C6DA0" w:rsidRPr="00E50FFF" w:rsidRDefault="008C6DA0" w:rsidP="00A54E9E">
            <w:pPr>
              <w:jc w:val="center"/>
              <w:rPr>
                <w:sz w:val="18"/>
                <w:szCs w:val="18"/>
              </w:rPr>
            </w:pPr>
            <w:r w:rsidRPr="00E50FFF">
              <w:rPr>
                <w:sz w:val="18"/>
                <w:szCs w:val="18"/>
              </w:rPr>
              <w:t>Instrukcja zarządzania użytkownikami systemu IMS</w:t>
            </w:r>
          </w:p>
        </w:tc>
        <w:tc>
          <w:tcPr>
            <w:tcW w:w="3510" w:type="dxa"/>
            <w:vAlign w:val="center"/>
          </w:tcPr>
          <w:p w:rsidR="008C6DA0" w:rsidRPr="00E50FFF" w:rsidRDefault="008C6DA0" w:rsidP="00A54E9E">
            <w:pPr>
              <w:jc w:val="center"/>
              <w:rPr>
                <w:sz w:val="18"/>
                <w:szCs w:val="18"/>
              </w:rPr>
            </w:pPr>
            <w:r w:rsidRPr="00E50FFF">
              <w:rPr>
                <w:sz w:val="18"/>
                <w:szCs w:val="18"/>
              </w:rPr>
              <w:t>Instrukcja</w:t>
            </w:r>
          </w:p>
          <w:p w:rsidR="008C6DA0" w:rsidRPr="00E50FFF" w:rsidRDefault="008C6DA0" w:rsidP="00A54E9E">
            <w:pPr>
              <w:jc w:val="center"/>
              <w:rPr>
                <w:sz w:val="18"/>
                <w:szCs w:val="18"/>
              </w:rPr>
            </w:pPr>
          </w:p>
        </w:tc>
      </w:tr>
      <w:tr w:rsidR="008C6DA0" w:rsidRPr="00E91351" w:rsidTr="00A54E9E">
        <w:trPr>
          <w:trHeight w:val="454"/>
          <w:jc w:val="center"/>
        </w:trPr>
        <w:tc>
          <w:tcPr>
            <w:tcW w:w="1314" w:type="dxa"/>
            <w:vAlign w:val="center"/>
          </w:tcPr>
          <w:p w:rsidR="008C6DA0" w:rsidRPr="00E50FFF" w:rsidRDefault="008C6DA0" w:rsidP="00A54E9E">
            <w:pPr>
              <w:jc w:val="center"/>
              <w:rPr>
                <w:sz w:val="18"/>
                <w:szCs w:val="18"/>
              </w:rPr>
            </w:pPr>
            <w:r w:rsidRPr="00E50FFF">
              <w:rPr>
                <w:sz w:val="18"/>
                <w:szCs w:val="18"/>
              </w:rPr>
              <w:t>Z-1/446</w:t>
            </w:r>
          </w:p>
        </w:tc>
        <w:tc>
          <w:tcPr>
            <w:tcW w:w="3631" w:type="dxa"/>
            <w:vAlign w:val="center"/>
          </w:tcPr>
          <w:tbl>
            <w:tblPr>
              <w:tblW w:w="0" w:type="auto"/>
              <w:tblBorders>
                <w:top w:val="nil"/>
                <w:left w:val="nil"/>
                <w:bottom w:val="nil"/>
                <w:right w:val="nil"/>
              </w:tblBorders>
              <w:tblLook w:val="0000" w:firstRow="0" w:lastRow="0" w:firstColumn="0" w:lastColumn="0" w:noHBand="0" w:noVBand="0"/>
            </w:tblPr>
            <w:tblGrid>
              <w:gridCol w:w="3491"/>
            </w:tblGrid>
            <w:tr w:rsidR="008C6DA0" w:rsidRPr="00E50FFF" w:rsidTr="00A54E9E">
              <w:trPr>
                <w:trHeight w:val="101"/>
              </w:trPr>
              <w:tc>
                <w:tcPr>
                  <w:tcW w:w="0" w:type="auto"/>
                </w:tcPr>
                <w:p w:rsidR="008C6DA0" w:rsidRPr="00E50FFF" w:rsidRDefault="008C6DA0" w:rsidP="00A54E9E">
                  <w:pPr>
                    <w:jc w:val="center"/>
                    <w:rPr>
                      <w:sz w:val="18"/>
                      <w:szCs w:val="18"/>
                    </w:rPr>
                  </w:pPr>
                  <w:r w:rsidRPr="00E50FFF">
                    <w:rPr>
                      <w:sz w:val="18"/>
                      <w:szCs w:val="18"/>
                    </w:rPr>
                    <w:t xml:space="preserve"> Zestawienie pól podlegających wypełnieniu w systemie IMS</w:t>
                  </w:r>
                </w:p>
              </w:tc>
            </w:tr>
          </w:tbl>
          <w:p w:rsidR="008C6DA0" w:rsidRPr="00E50FFF" w:rsidRDefault="008C6DA0" w:rsidP="00A54E9E">
            <w:pPr>
              <w:jc w:val="center"/>
              <w:rPr>
                <w:sz w:val="18"/>
                <w:szCs w:val="18"/>
              </w:rPr>
            </w:pPr>
          </w:p>
        </w:tc>
        <w:tc>
          <w:tcPr>
            <w:tcW w:w="3510" w:type="dxa"/>
            <w:vAlign w:val="center"/>
          </w:tcPr>
          <w:p w:rsidR="008C6DA0" w:rsidRPr="00E50FFF" w:rsidRDefault="008C6DA0" w:rsidP="00A54E9E">
            <w:pPr>
              <w:jc w:val="center"/>
              <w:rPr>
                <w:sz w:val="18"/>
                <w:szCs w:val="18"/>
              </w:rPr>
            </w:pPr>
          </w:p>
          <w:p w:rsidR="008C6DA0" w:rsidRPr="00E50FFF" w:rsidRDefault="008C6DA0" w:rsidP="00A54E9E">
            <w:pPr>
              <w:jc w:val="center"/>
              <w:rPr>
                <w:sz w:val="18"/>
                <w:szCs w:val="18"/>
              </w:rPr>
            </w:pPr>
            <w:r w:rsidRPr="00E50FFF">
              <w:rPr>
                <w:sz w:val="18"/>
                <w:szCs w:val="18"/>
              </w:rPr>
              <w:t>Tabela</w:t>
            </w:r>
          </w:p>
          <w:p w:rsidR="008C6DA0" w:rsidRPr="00E50FFF" w:rsidRDefault="008C6DA0" w:rsidP="00A54E9E">
            <w:pPr>
              <w:jc w:val="center"/>
              <w:rPr>
                <w:sz w:val="18"/>
                <w:szCs w:val="18"/>
              </w:rPr>
            </w:pPr>
          </w:p>
        </w:tc>
      </w:tr>
    </w:tbl>
    <w:p w:rsidR="008C6DA0" w:rsidRPr="008C6DA0" w:rsidRDefault="008C6DA0" w:rsidP="008C6DA0"/>
    <w:p w:rsidR="00391BB8" w:rsidRDefault="00391BB8">
      <w:pPr>
        <w:rPr>
          <w:color w:val="000000"/>
          <w:sz w:val="28"/>
        </w:rPr>
      </w:pPr>
    </w:p>
    <w:p w:rsidR="00391BB8" w:rsidRDefault="00A54E9E">
      <w:pPr>
        <w:rPr>
          <w:color w:val="000000"/>
          <w:sz w:val="28"/>
        </w:rPr>
      </w:pPr>
      <w:r>
        <w:br w:type="page"/>
      </w:r>
    </w:p>
    <w:p w:rsidR="00391BB8" w:rsidRDefault="00A54E9E">
      <w:pPr>
        <w:pStyle w:val="Nagwek2"/>
      </w:pPr>
      <w:bookmarkStart w:id="22" w:name="_Toc10110"/>
      <w:bookmarkStart w:id="23" w:name="_Toc512251954"/>
      <w:r>
        <w:lastRenderedPageBreak/>
        <w:t>Przekazywanie informacji o błędach administracyjnych/systemowych</w:t>
      </w:r>
      <w:bookmarkEnd w:id="22"/>
      <w:bookmarkEnd w:id="23"/>
    </w:p>
    <w:p w:rsidR="00391BB8" w:rsidRDefault="00391BB8">
      <w:pPr>
        <w:rPr>
          <w:color w:val="000000"/>
          <w:sz w:val="28"/>
        </w:rPr>
      </w:pPr>
    </w:p>
    <w:p w:rsidR="00391BB8" w:rsidRDefault="00A54E9E">
      <w:pPr>
        <w:pStyle w:val="Nagwek3"/>
      </w:pPr>
      <w:bookmarkStart w:id="24" w:name="_Toc10111"/>
      <w:bookmarkStart w:id="25" w:name="_Toc512251955"/>
      <w:r>
        <w:t>Przedmiot procedury</w:t>
      </w:r>
      <w:bookmarkEnd w:id="24"/>
      <w:bookmarkEnd w:id="25"/>
    </w:p>
    <w:p w:rsidR="00391BB8" w:rsidRDefault="00A54E9E">
      <w:pPr>
        <w:jc w:val="both"/>
        <w:rPr>
          <w:color w:val="000000"/>
        </w:rPr>
      </w:pPr>
      <w:r>
        <w:rPr>
          <w:color w:val="000000"/>
        </w:rPr>
        <w:t>Zasady i tryb przekazywania informacji o błędach administracyjnych/systemowych.</w:t>
      </w:r>
    </w:p>
    <w:p w:rsidR="00391BB8" w:rsidRDefault="00391BB8">
      <w:pPr>
        <w:rPr>
          <w:color w:val="000000"/>
          <w:sz w:val="28"/>
        </w:rPr>
      </w:pPr>
    </w:p>
    <w:p w:rsidR="00391BB8" w:rsidRDefault="00A54E9E">
      <w:pPr>
        <w:pStyle w:val="Nagwek3"/>
      </w:pPr>
      <w:bookmarkStart w:id="26" w:name="_Toc10112"/>
      <w:bookmarkStart w:id="27" w:name="_Toc512251956"/>
      <w:r>
        <w:t>Obszar procedury</w:t>
      </w:r>
      <w:bookmarkEnd w:id="26"/>
      <w:bookmarkEnd w:id="27"/>
    </w:p>
    <w:p w:rsidR="00391BB8" w:rsidRDefault="00A54E9E">
      <w:pPr>
        <w:jc w:val="both"/>
        <w:rPr>
          <w:color w:val="000000"/>
        </w:rPr>
      </w:pPr>
      <w:r>
        <w:rPr>
          <w:color w:val="000000"/>
        </w:rPr>
        <w:t>Przekazywanie informacji o błędach administracyjnych/systemowych</w:t>
      </w:r>
    </w:p>
    <w:p w:rsidR="00391BB8" w:rsidRDefault="00A54E9E">
      <w:pPr>
        <w:jc w:val="both"/>
        <w:rPr>
          <w:color w:val="000000"/>
        </w:rPr>
      </w:pPr>
      <w:r>
        <w:rPr>
          <w:color w:val="000000"/>
        </w:rPr>
        <w:t xml:space="preserve">w zakresie: </w:t>
      </w:r>
    </w:p>
    <w:p w:rsidR="00391BB8" w:rsidRDefault="00A54E9E">
      <w:pPr>
        <w:jc w:val="both"/>
        <w:rPr>
          <w:color w:val="000000"/>
        </w:rPr>
      </w:pPr>
      <w:r>
        <w:rPr>
          <w:color w:val="000000"/>
        </w:rPr>
        <w:t xml:space="preserve"> 1.  PO Rybactwo i Morze 2014-2020.</w:t>
      </w:r>
    </w:p>
    <w:p w:rsidR="00391BB8" w:rsidRDefault="00391BB8">
      <w:pPr>
        <w:rPr>
          <w:color w:val="000000"/>
          <w:sz w:val="28"/>
        </w:rPr>
      </w:pPr>
    </w:p>
    <w:p w:rsidR="00391BB8" w:rsidRDefault="00A54E9E">
      <w:pPr>
        <w:pStyle w:val="Nagwek3"/>
      </w:pPr>
      <w:bookmarkStart w:id="28" w:name="_Toc10113"/>
      <w:bookmarkStart w:id="29" w:name="_Toc512251957"/>
      <w:r>
        <w:t>Funkcja procedury</w:t>
      </w:r>
      <w:bookmarkEnd w:id="28"/>
      <w:bookmarkEnd w:id="29"/>
    </w:p>
    <w:p w:rsidR="00391BB8" w:rsidRDefault="00A54E9E">
      <w:pPr>
        <w:jc w:val="both"/>
        <w:rPr>
          <w:color w:val="000000"/>
        </w:rPr>
      </w:pPr>
      <w:r>
        <w:rPr>
          <w:color w:val="000000"/>
        </w:rPr>
        <w:t>Opi</w:t>
      </w:r>
      <w:r w:rsidR="00AF5345">
        <w:rPr>
          <w:color w:val="000000"/>
        </w:rPr>
        <w:t>s postępowania pracowników IP</w:t>
      </w:r>
      <w:r>
        <w:rPr>
          <w:color w:val="000000"/>
        </w:rPr>
        <w:t xml:space="preserve"> w przypadku stwierdzenia wystąpienia błędu administracyjnego/systemowego w zakresie określonym w procedurze </w:t>
      </w:r>
    </w:p>
    <w:p w:rsidR="00391BB8" w:rsidRDefault="00391BB8">
      <w:pPr>
        <w:rPr>
          <w:color w:val="000000"/>
          <w:sz w:val="28"/>
        </w:rPr>
      </w:pPr>
    </w:p>
    <w:p w:rsidR="00391BB8" w:rsidRDefault="00A54E9E">
      <w:pPr>
        <w:pStyle w:val="Nagwek3"/>
      </w:pPr>
      <w:bookmarkStart w:id="30" w:name="_Toc10114"/>
      <w:bookmarkStart w:id="31" w:name="_Toc512251958"/>
      <w:r>
        <w:t>Przebieg procesu</w:t>
      </w:r>
      <w:bookmarkEnd w:id="30"/>
      <w:bookmarkEnd w:id="31"/>
    </w:p>
    <w:p w:rsidR="00391BB8" w:rsidRDefault="00391BB8">
      <w:pPr>
        <w:rPr>
          <w:color w:val="000000"/>
          <w:sz w:val="28"/>
        </w:rPr>
      </w:pPr>
    </w:p>
    <w:p w:rsidR="00391BB8" w:rsidRDefault="00391BB8">
      <w:pPr>
        <w:sectPr w:rsidR="00391BB8">
          <w:pgSz w:w="11906" w:h="16838"/>
          <w:pgMar w:top="1134" w:right="850" w:bottom="1134" w:left="1417" w:header="454" w:footer="454" w:gutter="0"/>
          <w:cols w:space="720"/>
        </w:sectPr>
      </w:pPr>
    </w:p>
    <w:p w:rsidR="00391BB8" w:rsidRDefault="00391BB8">
      <w:pPr>
        <w:rPr>
          <w:color w:val="000000"/>
          <w:sz w:val="26"/>
        </w:rPr>
      </w:pPr>
    </w:p>
    <w:p w:rsidR="00391BB8" w:rsidRDefault="00A54E9E">
      <w:pPr>
        <w:pStyle w:val="Nagwek4"/>
      </w:pPr>
      <w:bookmarkStart w:id="32" w:name="_Toc10115"/>
      <w:bookmarkStart w:id="33" w:name="_Toc512251959"/>
      <w:r>
        <w:t>Przekazywanie informacji o błędach</w:t>
      </w:r>
      <w:bookmarkEnd w:id="32"/>
      <w:bookmarkEnd w:id="33"/>
    </w:p>
    <w:p w:rsidR="00391BB8" w:rsidRDefault="00F67C12">
      <w:pPr>
        <w:rPr>
          <w:color w:val="000000"/>
          <w:sz w:val="18"/>
        </w:rPr>
      </w:pPr>
      <w:r>
        <w:rPr>
          <w:noProof/>
        </w:rPr>
        <w:drawing>
          <wp:inline distT="0" distB="0" distL="0" distR="0">
            <wp:extent cx="6040755" cy="692023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0755" cy="6920230"/>
                    </a:xfrm>
                    <a:prstGeom prst="rect">
                      <a:avLst/>
                    </a:prstGeom>
                    <a:noFill/>
                    <a:ln>
                      <a:noFill/>
                    </a:ln>
                  </pic:spPr>
                </pic:pic>
              </a:graphicData>
            </a:graphic>
          </wp:inline>
        </w:drawing>
      </w:r>
    </w:p>
    <w:p w:rsidR="00391BB8" w:rsidRDefault="00391BB8">
      <w:pPr>
        <w:sectPr w:rsidR="00391BB8">
          <w:pgSz w:w="11906" w:h="16838"/>
          <w:pgMar w:top="1134" w:right="850" w:bottom="1134" w:left="1417" w:header="454" w:footer="454" w:gutter="0"/>
          <w:cols w:space="720"/>
        </w:sectPr>
      </w:pPr>
    </w:p>
    <w:p w:rsidR="00391BB8" w:rsidRDefault="00391BB8">
      <w:pPr>
        <w:rPr>
          <w:color w:val="000000"/>
          <w:sz w:val="28"/>
        </w:rPr>
      </w:pPr>
    </w:p>
    <w:p w:rsidR="00391BB8" w:rsidRDefault="00A54E9E">
      <w:pPr>
        <w:pStyle w:val="Nagwek3"/>
      </w:pPr>
      <w:bookmarkStart w:id="34" w:name="_Toc10116"/>
      <w:bookmarkStart w:id="35" w:name="_Toc512251960"/>
      <w:r>
        <w:t>Reguły związane z przebiegiem procesu</w:t>
      </w:r>
      <w:bookmarkEnd w:id="34"/>
      <w:bookmarkEnd w:id="35"/>
    </w:p>
    <w:p w:rsidR="008C6DA0" w:rsidRPr="00E91351" w:rsidRDefault="008C6DA0" w:rsidP="008C6DA0"/>
    <w:p w:rsidR="008C6DA0" w:rsidRPr="00E91351" w:rsidRDefault="008C6DA0" w:rsidP="008C6DA0">
      <w:pPr>
        <w:spacing w:before="120"/>
        <w:ind w:left="567" w:hanging="567"/>
        <w:jc w:val="both"/>
        <w:rPr>
          <w:color w:val="000000"/>
        </w:rPr>
      </w:pPr>
      <w:r w:rsidRPr="00E91351">
        <w:rPr>
          <w:b/>
          <w:color w:val="000000"/>
        </w:rPr>
        <w:t>R.1</w:t>
      </w:r>
      <w:r w:rsidRPr="00E91351">
        <w:rPr>
          <w:color w:val="000000"/>
        </w:rPr>
        <w:tab/>
      </w:r>
      <w:r w:rsidRPr="00E91351">
        <w:rPr>
          <w:b/>
          <w:color w:val="000000"/>
        </w:rPr>
        <w:t>Procedura 1.2 dotyczy</w:t>
      </w:r>
      <w:r w:rsidRPr="00E91351">
        <w:rPr>
          <w:color w:val="000000"/>
        </w:rPr>
        <w:t xml:space="preserve"> błędów administracyjnych/systemowych tj. błędów popełnianych przez pracowników IP.</w:t>
      </w:r>
    </w:p>
    <w:p w:rsidR="008C6DA0" w:rsidRPr="00E91351" w:rsidRDefault="008C6DA0" w:rsidP="008C6DA0">
      <w:pPr>
        <w:spacing w:before="120"/>
        <w:ind w:left="567" w:hanging="567"/>
        <w:jc w:val="both"/>
        <w:rPr>
          <w:b/>
          <w:color w:val="000000"/>
        </w:rPr>
      </w:pPr>
      <w:r w:rsidRPr="00E91351">
        <w:rPr>
          <w:b/>
          <w:color w:val="000000"/>
        </w:rPr>
        <w:t>R.2</w:t>
      </w:r>
      <w:r w:rsidRPr="00E91351">
        <w:rPr>
          <w:b/>
          <w:color w:val="000000"/>
        </w:rPr>
        <w:tab/>
        <w:t>Definicje błędów:</w:t>
      </w:r>
    </w:p>
    <w:p w:rsidR="008C6DA0" w:rsidRPr="00E91351" w:rsidRDefault="008C6DA0" w:rsidP="008C6DA0">
      <w:pPr>
        <w:spacing w:before="120"/>
        <w:jc w:val="both"/>
        <w:rPr>
          <w:color w:val="000000"/>
        </w:rPr>
      </w:pPr>
      <w:r w:rsidRPr="00E91351">
        <w:rPr>
          <w:color w:val="000000"/>
        </w:rPr>
        <w:t xml:space="preserve">Błąd administracyjny - jest to działanie agencji płatniczej, a także podmiotu wdrażającego, które </w:t>
      </w:r>
      <w:r w:rsidRPr="00E91351">
        <w:rPr>
          <w:color w:val="000000"/>
          <w:u w:val="single"/>
        </w:rPr>
        <w:t>s</w:t>
      </w:r>
      <w:r w:rsidRPr="00E91351">
        <w:rPr>
          <w:color w:val="000000"/>
        </w:rPr>
        <w:t>powodowało szkodę w ogólnym budżecie Wspólnot Europejskich w związku z finansowaniem nieuzasadnionego wydatku z budżetu Wspólnoty.</w:t>
      </w:r>
    </w:p>
    <w:p w:rsidR="008C6DA0" w:rsidRPr="00E91351" w:rsidRDefault="008C6DA0" w:rsidP="008C6DA0">
      <w:pPr>
        <w:spacing w:before="120"/>
        <w:jc w:val="both"/>
        <w:rPr>
          <w:color w:val="000000"/>
        </w:rPr>
      </w:pPr>
      <w:r w:rsidRPr="00E91351">
        <w:rPr>
          <w:color w:val="000000"/>
        </w:rPr>
        <w:t>Błąd systemowy – powtarzający się błąd spowodowany poważnymi zaniedbaniami w systemach zarządzania i kontroli, zaprojektowanych w celu zapewnienia prawidłowej rachunkowości i zgodności z obowiązującymi zasadami i przepisami.</w:t>
      </w:r>
    </w:p>
    <w:p w:rsidR="008C6DA0" w:rsidRPr="00E91351" w:rsidRDefault="008C6DA0" w:rsidP="008C6DA0">
      <w:pPr>
        <w:ind w:left="20"/>
        <w:jc w:val="both"/>
        <w:rPr>
          <w:b/>
        </w:rPr>
      </w:pPr>
      <w:r w:rsidRPr="00E91351">
        <w:rPr>
          <w:b/>
        </w:rPr>
        <w:t>R.3 Rejestr Błędów</w:t>
      </w:r>
    </w:p>
    <w:p w:rsidR="008C6DA0" w:rsidRPr="00E91351" w:rsidRDefault="008C6DA0" w:rsidP="008C6DA0">
      <w:pPr>
        <w:jc w:val="both"/>
        <w:rPr>
          <w:color w:val="000000"/>
        </w:rPr>
      </w:pPr>
      <w:r w:rsidRPr="00E91351">
        <w:rPr>
          <w:color w:val="000000"/>
        </w:rPr>
        <w:t>IP prowadzi rejestr dotyczący błędów (wzór formularza R-1/446), dane z tego raportu są przekazywane do IZ.</w:t>
      </w:r>
    </w:p>
    <w:p w:rsidR="008C6DA0" w:rsidRPr="00E91351" w:rsidRDefault="008C6DA0" w:rsidP="008C6DA0">
      <w:pPr>
        <w:pStyle w:val="NormalnyWeb"/>
        <w:spacing w:before="0" w:beforeAutospacing="0" w:after="0" w:afterAutospacing="0"/>
        <w:jc w:val="both"/>
      </w:pPr>
      <w:r w:rsidRPr="00E91351">
        <w:rPr>
          <w:color w:val="000000"/>
        </w:rPr>
        <w:t xml:space="preserve">Dane w Rejestrze Błędów należy aktualizować na bieżąco. Wprowadzenie danych następuje w terminie 3 dni roboczych od daty wystawienia dokumentu potwierdzającego wystąpienie błędu systemowego/administracyjnego. </w:t>
      </w:r>
    </w:p>
    <w:p w:rsidR="008C6DA0" w:rsidRPr="00E91351" w:rsidRDefault="008C6DA0" w:rsidP="008C6DA0">
      <w:pPr>
        <w:jc w:val="both"/>
        <w:rPr>
          <w:color w:val="000000"/>
        </w:rPr>
      </w:pPr>
      <w:r w:rsidRPr="00E91351">
        <w:rPr>
          <w:color w:val="000000"/>
        </w:rPr>
        <w:t xml:space="preserve">W przypadku kiedy błąd systemowy/administracyjny zostanie stwierdzony przez pracownika niebędącego pracownikiem odpowiedzialnym za weryfikację/autoryzację wniosku, pracownik ten zobligowany jest przekazać taką informację do właściwej jednostki/komórki organizacyjnej IP odpowiedzialnej za weryfikację/ autoryzację wniosków, celem wpisu do Rejestru Błędów </w:t>
      </w:r>
      <w:r w:rsidRPr="00E91351">
        <w:t>administracyjnych/systemowych</w:t>
      </w:r>
      <w:r w:rsidRPr="00E91351">
        <w:rPr>
          <w:color w:val="000000"/>
        </w:rPr>
        <w:t>.</w:t>
      </w:r>
    </w:p>
    <w:p w:rsidR="008C6DA0" w:rsidRPr="00E91351" w:rsidRDefault="008C6DA0" w:rsidP="008C6DA0">
      <w:pPr>
        <w:jc w:val="both"/>
        <w:rPr>
          <w:color w:val="000000"/>
        </w:rPr>
      </w:pPr>
      <w:r w:rsidRPr="00E91351">
        <w:rPr>
          <w:color w:val="000000"/>
        </w:rPr>
        <w:t xml:space="preserve">W przypadku kiedy błąd systemowy/administracyjny zostanie stwierdzony w wyniku kontroli i audytów wewnętrznych i zewnętrznych </w:t>
      </w:r>
      <w:r w:rsidRPr="00E91351">
        <w:rPr>
          <w:color w:val="000000"/>
          <w:u w:val="single"/>
        </w:rPr>
        <w:t xml:space="preserve">pracownik weryfikujący, który otrzymał sprawę dokonuje wpisu do Rejestru Błędów </w:t>
      </w:r>
      <w:r w:rsidRPr="00E91351">
        <w:rPr>
          <w:u w:val="single"/>
        </w:rPr>
        <w:t>administracyjnych/systemowych</w:t>
      </w:r>
      <w:r w:rsidRPr="00E91351">
        <w:t xml:space="preserve"> </w:t>
      </w:r>
      <w:r w:rsidRPr="00E91351">
        <w:rPr>
          <w:color w:val="000000"/>
        </w:rPr>
        <w:t>(wzór formularza R-1/446).</w:t>
      </w:r>
    </w:p>
    <w:p w:rsidR="008C6DA0" w:rsidRPr="00E91351" w:rsidRDefault="008C6DA0" w:rsidP="008C6DA0">
      <w:pPr>
        <w:jc w:val="both"/>
        <w:rPr>
          <w:color w:val="000000"/>
        </w:rPr>
      </w:pPr>
      <w:r w:rsidRPr="00E91351">
        <w:rPr>
          <w:color w:val="000000"/>
        </w:rPr>
        <w:t xml:space="preserve">Przekazanie Rejestru Błędów do IZ następuje w okresach miesięcznych do 10-tego dnia miesiąca następnego. </w:t>
      </w:r>
    </w:p>
    <w:p w:rsidR="008C6DA0" w:rsidRPr="00E91351" w:rsidRDefault="008C6DA0" w:rsidP="008C6DA0">
      <w:pPr>
        <w:jc w:val="both"/>
      </w:pPr>
      <w:r w:rsidRPr="00E91351">
        <w:rPr>
          <w:b/>
          <w:color w:val="000000"/>
        </w:rPr>
        <w:t>R.4</w:t>
      </w:r>
      <w:r w:rsidRPr="00E91351">
        <w:rPr>
          <w:color w:val="000000"/>
        </w:rPr>
        <w:t xml:space="preserve"> </w:t>
      </w:r>
      <w:r w:rsidRPr="00E91351">
        <w:rPr>
          <w:b/>
        </w:rPr>
        <w:t xml:space="preserve">Działania naprawcze </w:t>
      </w:r>
      <w:r w:rsidRPr="00E91351">
        <w:t>polegają na likwidacji skutków problemów o charakterze systemowym, które mogą mieć wymiar nie tylko finansowy. Poza skorygowaniem nieprawidłowych wydatków należy, gdy jest taka potrzeba, podjąć też inne działania. Są one uzależnione od rodzaju stwierdzonego problemu i mogą polegać np. na podniesieniu kwalifikacji pracowników zajmujących się wdrażaniem programu operacyjnego, zintensyfikowaniu działań kontrolnych, itp. Działania naprawcze należy podjąć możliwie szybko po stwierdzeniu występowania błędu.</w:t>
      </w:r>
    </w:p>
    <w:p w:rsidR="008C6DA0" w:rsidRPr="00E91351" w:rsidRDefault="008C6DA0" w:rsidP="008C6DA0">
      <w:pPr>
        <w:jc w:val="both"/>
      </w:pPr>
      <w:r w:rsidRPr="00E91351">
        <w:rPr>
          <w:b/>
        </w:rPr>
        <w:t>R.5 Odzyskiwanie</w:t>
      </w:r>
      <w:r w:rsidRPr="00E91351">
        <w:t xml:space="preserve"> środków nadmiernie pobranych wynikających z wystąpienia błędów administracyjnych/systemowych odbywa się z zgodnie z  zapisami książki procedur KP-611-449-ARiMR „Sporządzanie i poprawa dokumentów finansowo-księgowych oraz ustalanie, nienależnie, nadmiernie pobranych środków publicznych w ramach Priorytetu 4 „Zwiększenie zatrudnienia i spójności terytorialnej”, zawartego w Programie Operacyjnym „Rybactwo i Morze”.</w:t>
      </w:r>
    </w:p>
    <w:p w:rsidR="008C6DA0" w:rsidRPr="00E91351" w:rsidRDefault="008C6DA0" w:rsidP="008C6DA0">
      <w:pPr>
        <w:jc w:val="both"/>
        <w:rPr>
          <w:color w:val="000000"/>
        </w:rPr>
      </w:pPr>
    </w:p>
    <w:p w:rsidR="00391BB8" w:rsidRDefault="00391BB8">
      <w:pPr>
        <w:jc w:val="both"/>
        <w:rPr>
          <w:color w:val="000000"/>
        </w:rPr>
      </w:pPr>
    </w:p>
    <w:p w:rsidR="008C6DA0" w:rsidRDefault="008C6DA0">
      <w:pPr>
        <w:jc w:val="both"/>
        <w:rPr>
          <w:color w:val="000000"/>
        </w:rPr>
      </w:pPr>
    </w:p>
    <w:p w:rsidR="008C6DA0" w:rsidRDefault="008C6DA0">
      <w:pPr>
        <w:jc w:val="both"/>
        <w:rPr>
          <w:color w:val="000000"/>
        </w:rPr>
      </w:pPr>
    </w:p>
    <w:p w:rsidR="008C6DA0" w:rsidRDefault="008C6DA0">
      <w:pPr>
        <w:jc w:val="both"/>
        <w:rPr>
          <w:color w:val="000000"/>
        </w:rPr>
      </w:pPr>
    </w:p>
    <w:p w:rsidR="008C6DA0" w:rsidRDefault="008C6DA0">
      <w:pPr>
        <w:jc w:val="both"/>
        <w:rPr>
          <w:color w:val="000000"/>
        </w:rPr>
      </w:pPr>
    </w:p>
    <w:p w:rsidR="00391BB8" w:rsidRDefault="00391BB8">
      <w:pPr>
        <w:rPr>
          <w:color w:val="000000"/>
          <w:sz w:val="28"/>
        </w:rPr>
      </w:pPr>
    </w:p>
    <w:p w:rsidR="00391BB8" w:rsidRDefault="00A54E9E">
      <w:pPr>
        <w:pStyle w:val="Nagwek3"/>
      </w:pPr>
      <w:bookmarkStart w:id="36" w:name="_Toc10117"/>
      <w:bookmarkStart w:id="37" w:name="_Toc512251961"/>
      <w:r>
        <w:lastRenderedPageBreak/>
        <w:t>Załączniki</w:t>
      </w:r>
      <w:bookmarkEnd w:id="36"/>
      <w:bookmarkEnd w:id="37"/>
    </w:p>
    <w:p w:rsidR="00391BB8" w:rsidRDefault="00391BB8">
      <w:pPr>
        <w:rPr>
          <w:color w:val="000000"/>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4330"/>
        <w:gridCol w:w="3368"/>
      </w:tblGrid>
      <w:tr w:rsidR="00391BB8">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FFFFFF"/>
              </w:rPr>
              <w:t>1</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FFFFFF"/>
              </w:rPr>
              <w:t>2</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FFFFFF"/>
              </w:rPr>
              <w:t>3</w:t>
            </w:r>
          </w:p>
        </w:tc>
      </w:tr>
      <w:tr w:rsidR="00391BB8">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FFFFFF"/>
              </w:rPr>
            </w:pPr>
            <w:r>
              <w:rPr>
                <w:color w:val="000000"/>
                <w:sz w:val="18"/>
                <w:shd w:val="clear" w:color="auto" w:fill="CCCCCC"/>
              </w:rPr>
              <w:t>Symbol dokumentu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Nazwa</w:t>
            </w:r>
          </w:p>
        </w:tc>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color w:val="000000"/>
                <w:sz w:val="18"/>
                <w:shd w:val="clear" w:color="auto" w:fill="CCCCCC"/>
              </w:rPr>
            </w:pPr>
            <w:r>
              <w:rPr>
                <w:color w:val="000000"/>
                <w:sz w:val="18"/>
                <w:shd w:val="clear" w:color="auto" w:fill="CCCCCC"/>
              </w:rPr>
              <w:t>Opis dokumentu</w:t>
            </w:r>
          </w:p>
        </w:tc>
      </w:tr>
      <w:tr w:rsidR="00391BB8">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391BB8" w:rsidRDefault="00A54E9E">
            <w:pPr>
              <w:spacing w:before="45" w:after="45"/>
              <w:rPr>
                <w:color w:val="000000"/>
                <w:sz w:val="18"/>
                <w:shd w:val="clear" w:color="auto" w:fill="CCCCCC"/>
              </w:rPr>
            </w:pPr>
            <w:r>
              <w:rPr>
                <w:color w:val="000000"/>
                <w:sz w:val="18"/>
                <w:shd w:val="clear" w:color="auto" w:fill="FFFFFF"/>
              </w:rPr>
              <w:t>R-1/446</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391BB8" w:rsidRDefault="00A54E9E">
            <w:pPr>
              <w:spacing w:before="45" w:after="45"/>
              <w:rPr>
                <w:color w:val="000000"/>
                <w:sz w:val="18"/>
                <w:shd w:val="clear" w:color="auto" w:fill="FFFFFF"/>
              </w:rPr>
            </w:pPr>
            <w:r>
              <w:rPr>
                <w:color w:val="000000"/>
                <w:sz w:val="18"/>
                <w:shd w:val="clear" w:color="auto" w:fill="FFFFFF"/>
              </w:rPr>
              <w:t>Rejestr błędów</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391BB8" w:rsidRDefault="00A54E9E">
            <w:pPr>
              <w:spacing w:before="45" w:after="45"/>
              <w:rPr>
                <w:color w:val="000000"/>
                <w:sz w:val="18"/>
                <w:shd w:val="clear" w:color="auto" w:fill="FFFFFF"/>
              </w:rPr>
            </w:pPr>
            <w:r>
              <w:rPr>
                <w:color w:val="000000"/>
                <w:sz w:val="18"/>
                <w:shd w:val="clear" w:color="auto" w:fill="FFFFFF"/>
              </w:rPr>
              <w:t>Wzór Rejestru</w:t>
            </w:r>
          </w:p>
        </w:tc>
      </w:tr>
      <w:tr w:rsidR="00391BB8">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391BB8" w:rsidRDefault="00391BB8">
            <w:pPr>
              <w:spacing w:before="45" w:after="45"/>
              <w:rPr>
                <w:color w:val="000000"/>
                <w:sz w:val="18"/>
                <w:shd w:val="clear" w:color="auto" w:fill="FFFFFF"/>
              </w:rPr>
            </w:pP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391BB8" w:rsidRDefault="00391BB8">
            <w:pPr>
              <w:spacing w:before="45" w:after="45"/>
              <w:rPr>
                <w:color w:val="000000"/>
                <w:sz w:val="18"/>
                <w:shd w:val="clear" w:color="auto" w:fill="FFFFFF"/>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391BB8" w:rsidRDefault="00391BB8">
            <w:pPr>
              <w:spacing w:before="45" w:after="45"/>
              <w:rPr>
                <w:color w:val="000000"/>
                <w:sz w:val="18"/>
                <w:shd w:val="clear" w:color="auto" w:fill="FFFFFF"/>
              </w:rPr>
            </w:pPr>
          </w:p>
        </w:tc>
      </w:tr>
    </w:tbl>
    <w:p w:rsidR="00391BB8" w:rsidRDefault="00391BB8">
      <w:pPr>
        <w:jc w:val="center"/>
        <w:sectPr w:rsidR="00391BB8">
          <w:pgSz w:w="11906" w:h="16838"/>
          <w:pgMar w:top="1134" w:right="850" w:bottom="1134" w:left="1417" w:header="454" w:footer="454" w:gutter="0"/>
          <w:cols w:space="720"/>
        </w:sectPr>
      </w:pPr>
    </w:p>
    <w:p w:rsidR="00391BB8" w:rsidRDefault="00391BB8">
      <w:pPr>
        <w:rPr>
          <w:color w:val="000000"/>
          <w:sz w:val="28"/>
        </w:rPr>
      </w:pPr>
    </w:p>
    <w:p w:rsidR="00391BB8" w:rsidRDefault="00A54E9E">
      <w:pPr>
        <w:pStyle w:val="Nagwek1"/>
      </w:pPr>
      <w:bookmarkStart w:id="38" w:name="_Toc10118"/>
      <w:bookmarkStart w:id="39" w:name="_Toc512251962"/>
      <w:r>
        <w:t>Czynności wykonywane na poszczególnych stanowiskach pracy</w:t>
      </w:r>
      <w:bookmarkEnd w:id="38"/>
      <w:bookmarkEnd w:id="39"/>
    </w:p>
    <w:p w:rsidR="00391BB8" w:rsidRDefault="00A54E9E">
      <w:pPr>
        <w:jc w:val="both"/>
        <w:rPr>
          <w:color w:val="000000"/>
          <w:sz w:val="18"/>
        </w:rPr>
      </w:pPr>
      <w:r>
        <w:rPr>
          <w:color w:val="000000"/>
          <w:sz w:val="18"/>
        </w:rPr>
        <w:t>Dokumentacja aktowa prowadzonych spraw, na wszystkich stanowiskach pracy, powinna być na bieżąco znakowana, gromadzona oraz przechowywana w teczkach aktowych (opisanych zgodnie z postanowieniami aktualnej Instrukcji Kancelaryjnej i Jednolitego Rzeczowego Wykazu Akt) w kolejności chronologicznej, wynikającej z zasad prowadzenia akt, umożliwiając łatwe ich odszukanie i sprawdzenie, a także chronienie ich przed osobami nieupoważnionymi. Archiwizacja odbywa się zgodnie z aktualną Instrukcją Kancelaryjną, Jednolitym Rzeczowym Wykazem Akt oraz Instrukcją w sprawie organizacji i zakresu działania archiwów zakładowych i składnic akt ARiMR. W przypadku dołączonych do sprawy dokumentów, w których system informatyczny nie generuje znaku sprawy lub brak jest pola na znak sprawy, należy manualnie nanieść znak sprawy na dokument na nośniku papierowym lub elektronicznym.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2183"/>
        <w:gridCol w:w="2183"/>
        <w:gridCol w:w="2183"/>
        <w:gridCol w:w="4366"/>
        <w:gridCol w:w="1455"/>
      </w:tblGrid>
      <w:tr w:rsidR="00391BB8">
        <w:trPr>
          <w:tblHeader/>
          <w:jc w:val="center"/>
        </w:trPr>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b/>
                <w:color w:val="000000"/>
                <w:sz w:val="18"/>
                <w:shd w:val="clear" w:color="auto" w:fill="CCCCCC"/>
              </w:rPr>
            </w:pPr>
            <w:r>
              <w:rPr>
                <w:b/>
                <w:color w:val="000000"/>
                <w:sz w:val="18"/>
                <w:shd w:val="clear" w:color="auto" w:fill="CCCCCC"/>
              </w:rPr>
              <w:t>Stanowisko</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b/>
                <w:color w:val="000000"/>
                <w:sz w:val="18"/>
                <w:shd w:val="clear" w:color="auto" w:fill="CCCCCC"/>
              </w:rPr>
            </w:pPr>
            <w:r>
              <w:rPr>
                <w:b/>
                <w:color w:val="000000"/>
                <w:sz w:val="18"/>
                <w:shd w:val="clear" w:color="auto" w:fill="CCCCCC"/>
              </w:rPr>
              <w:t>Procedura</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b/>
                <w:color w:val="000000"/>
                <w:sz w:val="18"/>
                <w:shd w:val="clear" w:color="auto" w:fill="CCCCCC"/>
              </w:rPr>
            </w:pPr>
            <w:r>
              <w:rPr>
                <w:b/>
                <w:color w:val="000000"/>
                <w:sz w:val="18"/>
                <w:shd w:val="clear" w:color="auto" w:fill="CCCCCC"/>
              </w:rPr>
              <w:t>Proces</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b/>
                <w:color w:val="000000"/>
                <w:sz w:val="18"/>
                <w:shd w:val="clear" w:color="auto" w:fill="CCCCCC"/>
              </w:rPr>
            </w:pPr>
            <w:r>
              <w:rPr>
                <w:b/>
                <w:color w:val="000000"/>
                <w:sz w:val="18"/>
                <w:shd w:val="clear" w:color="auto" w:fill="CCCCCC"/>
              </w:rPr>
              <w:t>Funkcja</w:t>
            </w:r>
          </w:p>
        </w:tc>
        <w:tc>
          <w:tcPr>
            <w:tcW w:w="1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b/>
                <w:color w:val="000000"/>
                <w:sz w:val="18"/>
                <w:shd w:val="clear" w:color="auto" w:fill="CCCCCC"/>
              </w:rPr>
            </w:pPr>
            <w:r>
              <w:rPr>
                <w:b/>
                <w:color w:val="000000"/>
                <w:sz w:val="18"/>
                <w:shd w:val="clear" w:color="auto" w:fill="CCCCCC"/>
              </w:rPr>
              <w:t>Zakres czynności</w:t>
            </w:r>
          </w:p>
        </w:tc>
        <w:tc>
          <w:tcPr>
            <w:tcW w:w="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391BB8" w:rsidRDefault="00A54E9E">
            <w:pPr>
              <w:spacing w:before="45" w:after="45"/>
              <w:jc w:val="center"/>
              <w:rPr>
                <w:b/>
                <w:color w:val="000000"/>
                <w:sz w:val="18"/>
                <w:shd w:val="clear" w:color="auto" w:fill="CCCCCC"/>
              </w:rPr>
            </w:pPr>
            <w:r>
              <w:rPr>
                <w:b/>
                <w:color w:val="000000"/>
                <w:sz w:val="18"/>
                <w:shd w:val="clear" w:color="auto" w:fill="CCCCCC"/>
              </w:rPr>
              <w:t>Wzory dokumentów obsługiwanych na danym stanowisku</w:t>
            </w:r>
          </w:p>
        </w:tc>
      </w:tr>
      <w:tr w:rsidR="00391BB8">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CCCCCC"/>
              </w:rPr>
            </w:pPr>
            <w:r>
              <w:rPr>
                <w:color w:val="000000"/>
                <w:sz w:val="18"/>
                <w:shd w:val="clear" w:color="auto" w:fill="FFFFFF"/>
              </w:rPr>
              <w:t>Pracownik  sprawdzający</w:t>
            </w:r>
          </w:p>
          <w:p w:rsidR="00391BB8" w:rsidRDefault="00A54E9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Procedura rozpatrywania, stwierdzania i przekazywania informacji o nieprawidłowościach</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Rozpatrywanie, stwierdzanie i przekazywanie informacji o nieprawidłowościach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 xml:space="preserve">Przeprowadzenie postępowania wyjaśniającego zgodnie z regułami (1.1.5)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 xml:space="preserve">Przeprowadzenie postępowania wyjaśniającego zgodnie z regułami (1.1.5) </w:t>
            </w:r>
          </w:p>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t xml:space="preserve">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R-1/446</w:t>
            </w:r>
          </w:p>
          <w:p w:rsidR="00391BB8" w:rsidRDefault="00A54E9E">
            <w:pPr>
              <w:spacing w:before="45" w:after="45"/>
              <w:rPr>
                <w:color w:val="000000"/>
                <w:sz w:val="18"/>
                <w:shd w:val="clear" w:color="auto" w:fill="FFFFFF"/>
              </w:rPr>
            </w:pPr>
            <w:r>
              <w:rPr>
                <w:color w:val="000000"/>
                <w:sz w:val="18"/>
                <w:shd w:val="clear" w:color="auto" w:fill="FFFFFF"/>
              </w:rPr>
              <w:t>Korespondencja wynikająca z danego postępowania, pisma występujące w poszczególnych procedurach (np. pismo o wyjaśnienia, pismo do innego podmiotu o opinię w sprawie itp.), inne pisma tworzone zależnie od potrzeb danego postępowania wyjaśniającego.</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Anulowanie/Aktualizacja/Zamknięcie sprawy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Anulowanie/Aktualizacja/Zamknięcie spraw</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Pracownik  weryfikujący</w:t>
            </w:r>
          </w:p>
          <w:p w:rsidR="00391BB8" w:rsidRDefault="00A54E9E">
            <w:pPr>
              <w:spacing w:before="45" w:after="45"/>
              <w:rPr>
                <w:color w:val="000000"/>
                <w:sz w:val="18"/>
                <w:shd w:val="clear" w:color="auto" w:fill="FFFFFF"/>
              </w:rPr>
            </w:pPr>
            <w:r>
              <w:rPr>
                <w:color w:val="000000"/>
                <w:sz w:val="18"/>
                <w:shd w:val="clear" w:color="auto" w:fill="FFFFFF"/>
              </w:rPr>
              <w:lastRenderedPageBreak/>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lastRenderedPageBreak/>
              <w:t xml:space="preserve">Procedura rozpatrywania, stwierdzania i </w:t>
            </w:r>
            <w:r>
              <w:rPr>
                <w:color w:val="000000"/>
                <w:sz w:val="18"/>
                <w:shd w:val="clear" w:color="auto" w:fill="FFFFFF"/>
              </w:rPr>
              <w:lastRenderedPageBreak/>
              <w:t>przekazywania informacji o nieprawidłowościach</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lastRenderedPageBreak/>
              <w:t xml:space="preserve">Rozpatrywanie, stwierdzanie i </w:t>
            </w:r>
            <w:r>
              <w:rPr>
                <w:color w:val="000000"/>
                <w:sz w:val="18"/>
                <w:shd w:val="clear" w:color="auto" w:fill="FFFFFF"/>
              </w:rPr>
              <w:lastRenderedPageBreak/>
              <w:t>przekazywanie informacji o nieprawidłowościach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lastRenderedPageBreak/>
              <w:t xml:space="preserve">Przeprowadzenie postępowania </w:t>
            </w:r>
            <w:r>
              <w:rPr>
                <w:color w:val="000000"/>
                <w:sz w:val="18"/>
                <w:shd w:val="clear" w:color="auto" w:fill="FFFFFF"/>
              </w:rPr>
              <w:lastRenderedPageBreak/>
              <w:t xml:space="preserve">wyjaśniającego zgodnie z regułami (1.1.5)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lastRenderedPageBreak/>
              <w:t xml:space="preserve">Przeprowadzenie postępowania wyjaśniającego zgodnie z regułami (1.1.5) </w:t>
            </w:r>
          </w:p>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t xml:space="preserve">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lastRenderedPageBreak/>
              <w:t>R-1/446</w:t>
            </w:r>
          </w:p>
          <w:p w:rsidR="00391BB8" w:rsidRDefault="00A54E9E">
            <w:pPr>
              <w:spacing w:before="45" w:after="45"/>
              <w:rPr>
                <w:color w:val="000000"/>
                <w:sz w:val="18"/>
                <w:shd w:val="clear" w:color="auto" w:fill="FFFFFF"/>
              </w:rPr>
            </w:pPr>
            <w:r>
              <w:rPr>
                <w:color w:val="000000"/>
                <w:sz w:val="18"/>
                <w:shd w:val="clear" w:color="auto" w:fill="FFFFFF"/>
              </w:rPr>
              <w:lastRenderedPageBreak/>
              <w:t>Korespondencja wynikająca z danego postępowania, pisma występujące w poszczególnych procedurach (np. pismo o wyjaśnienia, pismo do innego podmiotu o opinię w sprawie itp.), inne pisma tworzone zależnie od potrzeb danego postępowania wyjaśniającego.</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 xml:space="preserve">Przekazanie informacji o stwierdz. nieprawidłowości do pracownika odpowiedz. za ewidencjonowanie nieprawidłowości zgodnie z zapisami KP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Przekazanie informacji o stwierdz. nieprawidłowości do pracownika odpowiedz. za ewidencjonowanie nieprawidłowości zgodnie z zapisami KP</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Anulowanie/Aktualizacja/Zamknięcie sprawy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Anulowanie/Aktualizacja/Zamknięcie spraw</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Pracownik  zatwierdzający</w:t>
            </w:r>
          </w:p>
          <w:p w:rsidR="00391BB8" w:rsidRDefault="00A54E9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Procedura rozpatrywania, stwierdzania i przekazywania informacji o nieprawidłowościach</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Rozpatrywanie, stwierdzanie i przekazywanie informacji o nieprawidłowościach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 xml:space="preserve">Przeprowadzenie postępowania wyjaśniającego zgodnie z regułami (1.1.5)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 xml:space="preserve">Przeprowadzenie postępowania wyjaśniającego zgodnie z regułami (1.1.5) </w:t>
            </w:r>
          </w:p>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t xml:space="preserve"> </w:t>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R-1/446</w:t>
            </w:r>
          </w:p>
          <w:p w:rsidR="00391BB8" w:rsidRDefault="00A54E9E">
            <w:pPr>
              <w:spacing w:before="45" w:after="45"/>
              <w:rPr>
                <w:color w:val="000000"/>
                <w:sz w:val="18"/>
                <w:shd w:val="clear" w:color="auto" w:fill="FFFFFF"/>
              </w:rPr>
            </w:pPr>
            <w:r>
              <w:rPr>
                <w:color w:val="000000"/>
                <w:sz w:val="18"/>
                <w:shd w:val="clear" w:color="auto" w:fill="FFFFFF"/>
              </w:rPr>
              <w:t xml:space="preserve">Korespondencja wynikająca z danego postępowania, pisma </w:t>
            </w:r>
            <w:r>
              <w:rPr>
                <w:color w:val="000000"/>
                <w:sz w:val="18"/>
                <w:shd w:val="clear" w:color="auto" w:fill="FFFFFF"/>
              </w:rPr>
              <w:lastRenderedPageBreak/>
              <w:t>występujące w poszczególnych procedurach (np. pismo o wyjaśnienia, pismo do innego podmiotu o opinię w sprawie itp.), inne pisma tworzone zależnie od potrzeb danego postępowania wyjaśniającego.</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Anulowanie/Aktualizacja/Zamknięcie sprawy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Anulowanie/Aktualizacja/Zamknięcie spraw</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Pracownik odpowiedzialny za ewidencjonowanie nieprawidłowości /nieprawidłowości systemowej</w:t>
            </w:r>
          </w:p>
          <w:p w:rsidR="00391BB8" w:rsidRDefault="00A54E9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Procedura rozpatrywania, stwierdzania i przekazywania informacji o nieprawidłowościach</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Rozpatrywanie, stwierdzanie i przekazywanie informacji o nieprawidłowościach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Wpisanie informacji do systemu IMS</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Wpisanie informacji do systemu IMS</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120C8F">
            <w:pPr>
              <w:spacing w:before="45" w:after="45"/>
              <w:rPr>
                <w:color w:val="000000"/>
                <w:sz w:val="18"/>
                <w:shd w:val="clear" w:color="auto" w:fill="FFFFFF"/>
              </w:rPr>
            </w:pPr>
            <w:r>
              <w:rPr>
                <w:color w:val="000000"/>
                <w:sz w:val="18"/>
                <w:shd w:val="clear" w:color="auto" w:fill="FFFFFF"/>
              </w:rPr>
              <w:t>Raportowanie kwartalne do</w:t>
            </w:r>
            <w:r w:rsidR="00A54E9E">
              <w:rPr>
                <w:color w:val="000000"/>
                <w:sz w:val="18"/>
                <w:shd w:val="clear" w:color="auto" w:fill="FFFFFF"/>
              </w:rPr>
              <w:t xml:space="preserve"> </w:t>
            </w:r>
            <w:r w:rsidR="00B749F3">
              <w:rPr>
                <w:color w:val="000000"/>
                <w:sz w:val="18"/>
                <w:shd w:val="clear" w:color="auto" w:fill="FFFFFF"/>
              </w:rPr>
              <w:t>IZ (</w:t>
            </w:r>
            <w:r w:rsidR="00A54E9E">
              <w:rPr>
                <w:color w:val="000000"/>
                <w:sz w:val="18"/>
                <w:shd w:val="clear" w:color="auto" w:fill="FFFFFF"/>
              </w:rPr>
              <w:t>IR</w:t>
            </w:r>
            <w:r w:rsidR="00C6135F">
              <w:rPr>
                <w:color w:val="000000"/>
                <w:sz w:val="18"/>
                <w:shd w:val="clear" w:color="auto" w:fill="FFFFFF"/>
              </w:rPr>
              <w:t xml:space="preserve"> </w:t>
            </w:r>
            <w:r w:rsidR="00A54E9E">
              <w:rPr>
                <w:color w:val="000000"/>
                <w:sz w:val="18"/>
                <w:shd w:val="clear" w:color="auto" w:fill="FFFFFF"/>
              </w:rPr>
              <w:t>I</w:t>
            </w:r>
            <w:r>
              <w:rPr>
                <w:color w:val="000000"/>
                <w:sz w:val="18"/>
                <w:shd w:val="clear" w:color="auto" w:fill="FFFFFF"/>
              </w:rPr>
              <w:t>I</w:t>
            </w:r>
            <w:r w:rsidR="00B749F3">
              <w:rPr>
                <w:color w:val="000000"/>
                <w:sz w:val="18"/>
                <w:shd w:val="clear" w:color="auto" w:fill="FFFFFF"/>
              </w:rPr>
              <w:t>)</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Wpisanie informacji do zestawienia</w:t>
            </w:r>
            <w:r w:rsidR="00120C8F">
              <w:rPr>
                <w:color w:val="000000"/>
                <w:sz w:val="18"/>
                <w:shd w:val="clear" w:color="auto" w:fill="FFFFFF"/>
              </w:rPr>
              <w:t xml:space="preserve"> kwartalnego</w:t>
            </w:r>
            <w:r>
              <w:rPr>
                <w:color w:val="000000"/>
                <w:sz w:val="18"/>
                <w:shd w:val="clear" w:color="auto" w:fill="FFFFFF"/>
              </w:rPr>
              <w:t xml:space="preserve"> przez </w:t>
            </w:r>
            <w:r w:rsidR="00B749F3">
              <w:rPr>
                <w:color w:val="000000"/>
                <w:sz w:val="18"/>
                <w:shd w:val="clear" w:color="auto" w:fill="FFFFFF"/>
              </w:rPr>
              <w:t>SW (</w:t>
            </w:r>
            <w:r>
              <w:rPr>
                <w:color w:val="000000"/>
                <w:sz w:val="18"/>
                <w:shd w:val="clear" w:color="auto" w:fill="FFFFFF"/>
              </w:rPr>
              <w:t>IR II</w:t>
            </w:r>
            <w:r w:rsidR="00120C8F">
              <w:rPr>
                <w:color w:val="000000"/>
                <w:sz w:val="18"/>
                <w:shd w:val="clear" w:color="auto" w:fill="FFFFFF"/>
              </w:rPr>
              <w:t>I</w:t>
            </w:r>
            <w:r w:rsidR="00B749F3">
              <w:rPr>
                <w:color w:val="000000"/>
                <w:sz w:val="18"/>
                <w:shd w:val="clear" w:color="auto" w:fill="FFFFFF"/>
              </w:rPr>
              <w:t>)</w:t>
            </w:r>
            <w:r w:rsidR="00120C8F">
              <w:rPr>
                <w:color w:val="000000"/>
                <w:sz w:val="18"/>
                <w:shd w:val="clear" w:color="auto" w:fill="FFFFFF"/>
              </w:rPr>
              <w:t xml:space="preserve">, oraz przekazanie raportu  do </w:t>
            </w:r>
            <w:r w:rsidR="00B749F3">
              <w:rPr>
                <w:color w:val="000000"/>
                <w:sz w:val="18"/>
                <w:shd w:val="clear" w:color="auto" w:fill="FFFFFF"/>
              </w:rPr>
              <w:t>I</w:t>
            </w:r>
            <w:r w:rsidR="00C6135F">
              <w:rPr>
                <w:color w:val="000000"/>
                <w:sz w:val="18"/>
                <w:shd w:val="clear" w:color="auto" w:fill="FFFFFF"/>
              </w:rPr>
              <w:t>Z</w:t>
            </w:r>
            <w:r w:rsidR="00B749F3">
              <w:rPr>
                <w:color w:val="000000"/>
                <w:sz w:val="18"/>
                <w:shd w:val="clear" w:color="auto" w:fill="FFFFFF"/>
              </w:rPr>
              <w:t xml:space="preserve"> (</w:t>
            </w:r>
            <w:r w:rsidR="00120C8F">
              <w:rPr>
                <w:color w:val="000000"/>
                <w:sz w:val="18"/>
                <w:shd w:val="clear" w:color="auto" w:fill="FFFFFF"/>
              </w:rPr>
              <w:t>IR</w:t>
            </w:r>
            <w:r w:rsidR="00C6135F">
              <w:rPr>
                <w:color w:val="000000"/>
                <w:sz w:val="18"/>
                <w:shd w:val="clear" w:color="auto" w:fill="FFFFFF"/>
              </w:rPr>
              <w:t xml:space="preserve"> </w:t>
            </w:r>
            <w:r w:rsidR="00120C8F">
              <w:rPr>
                <w:color w:val="000000"/>
                <w:sz w:val="18"/>
                <w:shd w:val="clear" w:color="auto" w:fill="FFFFFF"/>
              </w:rPr>
              <w:t>II</w:t>
            </w:r>
            <w:r w:rsidR="00B749F3">
              <w:rPr>
                <w:color w:val="000000"/>
                <w:sz w:val="18"/>
                <w:shd w:val="clear" w:color="auto" w:fill="FFFFFF"/>
              </w:rPr>
              <w:t>)</w:t>
            </w:r>
            <w:r w:rsidR="00120C8F">
              <w:rPr>
                <w:color w:val="000000"/>
                <w:sz w:val="18"/>
                <w:shd w:val="clear" w:color="auto" w:fill="FFFFFF"/>
              </w:rPr>
              <w:t>. Nieprawidłowości niepodlegające raportowaniu do KE.</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ZN-1/446</w:t>
            </w:r>
          </w:p>
          <w:p w:rsidR="00391BB8" w:rsidRDefault="00A54E9E">
            <w:pPr>
              <w:spacing w:before="45" w:after="45"/>
              <w:rPr>
                <w:color w:val="000000"/>
                <w:sz w:val="18"/>
                <w:shd w:val="clear" w:color="auto" w:fill="FFFFFF"/>
              </w:rPr>
            </w:pPr>
            <w:r>
              <w:rPr>
                <w:color w:val="000000"/>
                <w:sz w:val="18"/>
                <w:shd w:val="clear" w:color="auto" w:fill="FFFFFF"/>
              </w:rPr>
              <w:t>I-1/446</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Wpisanie informacji do systemu IMS</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Wpisanie informacji do systemu IMS</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Pracownik sprawdzający</w:t>
            </w:r>
          </w:p>
          <w:p w:rsidR="00391BB8" w:rsidRDefault="00A54E9E">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Przekazywanie informacji o błędach administracyjnych/systemowych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Przekazywanie informacji o błędach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Zatwierdzenie i przekazanie danych do IZ</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lastRenderedPageBreak/>
              <w:t>Pracownik weryfikujący</w:t>
            </w:r>
          </w:p>
          <w:p w:rsidR="00391BB8" w:rsidRDefault="00A54E9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Przekazywanie informacji o błędach administracyjnych/systemowych</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Przekazywanie informacji o błędach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Zatwierdzenie i przekazanie danych do IZ</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Przesłanie informacji o konieczności korekty w rejstrze błędów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Wprowadzenie danych do rejestru błądów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Wprowadzenie danych do rejestru błędów</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R-1/446</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Analiza danych w rejstrze błędów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Analiza danych w restrze błędów</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R-1/446</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Analiza danych w rejstrze błędów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Analiza danych w restrze błędów</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R-1/446</w:t>
            </w:r>
            <w:r>
              <w:rPr>
                <w:color w:val="000000"/>
                <w:sz w:val="18"/>
                <w:shd w:val="clear" w:color="auto" w:fill="FFFFFF"/>
              </w:rPr>
              <w:br/>
            </w:r>
          </w:p>
        </w:tc>
      </w:tr>
      <w:tr w:rsidR="00391BB8">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Korekta danych w rejestrze błędów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Korekta danych w rejestrze</w:t>
            </w: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R-1/446</w:t>
            </w:r>
            <w:r>
              <w:rPr>
                <w:color w:val="000000"/>
                <w:sz w:val="18"/>
                <w:shd w:val="clear" w:color="auto" w:fill="FFFFFF"/>
              </w:rPr>
              <w:br/>
            </w:r>
          </w:p>
        </w:tc>
      </w:tr>
      <w:tr w:rsidR="00391BB8">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Pracownik zatwierdzający</w:t>
            </w:r>
          </w:p>
          <w:p w:rsidR="00391BB8" w:rsidRDefault="00A54E9E">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Przekazywanie informacji o błędach administracyjnych/systemowych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Przekazywanie informacji o błędach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A54E9E">
            <w:pPr>
              <w:spacing w:before="45" w:after="45"/>
              <w:rPr>
                <w:color w:val="000000"/>
                <w:sz w:val="18"/>
                <w:shd w:val="clear" w:color="auto" w:fill="FFFFFF"/>
              </w:rPr>
            </w:pPr>
            <w:r>
              <w:rPr>
                <w:color w:val="000000"/>
                <w:sz w:val="18"/>
                <w:shd w:val="clear" w:color="auto" w:fill="FFFFFF"/>
              </w:rPr>
              <w:t>Zatwierdzenie i przekazanie danych do IZ</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p w:rsidR="00391BB8" w:rsidRDefault="00A54E9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B8" w:rsidRDefault="00391BB8">
            <w:pPr>
              <w:spacing w:before="45" w:after="45"/>
              <w:rPr>
                <w:color w:val="000000"/>
                <w:sz w:val="18"/>
                <w:shd w:val="clear" w:color="auto" w:fill="FFFFFF"/>
              </w:rPr>
            </w:pPr>
          </w:p>
        </w:tc>
      </w:tr>
    </w:tbl>
    <w:p w:rsidR="00391BB8" w:rsidRDefault="00391BB8">
      <w:pPr>
        <w:jc w:val="center"/>
        <w:sectPr w:rsidR="00391BB8">
          <w:pgSz w:w="16838" w:h="11906" w:orient="landscape"/>
          <w:pgMar w:top="1701" w:right="1134" w:bottom="1134" w:left="1134" w:header="454" w:footer="454" w:gutter="0"/>
          <w:cols w:space="720"/>
        </w:sectPr>
      </w:pPr>
    </w:p>
    <w:p w:rsidR="00391BB8" w:rsidRDefault="00391BB8">
      <w:pPr>
        <w:rPr>
          <w:color w:val="000000"/>
          <w:sz w:val="28"/>
        </w:rPr>
      </w:pPr>
    </w:p>
    <w:p w:rsidR="00391BB8" w:rsidRDefault="00A54E9E">
      <w:pPr>
        <w:pStyle w:val="Nagwek1"/>
      </w:pPr>
      <w:bookmarkStart w:id="40" w:name="_Toc10119"/>
      <w:bookmarkStart w:id="41" w:name="_Toc512251963"/>
      <w:r>
        <w:t>Załączniki</w:t>
      </w:r>
      <w:bookmarkEnd w:id="40"/>
      <w:bookmarkEnd w:id="41"/>
    </w:p>
    <w:p w:rsidR="00391BB8" w:rsidRDefault="00391BB8">
      <w:pPr>
        <w:rPr>
          <w:color w:val="000000"/>
          <w:sz w:val="28"/>
        </w:rPr>
      </w:pPr>
    </w:p>
    <w:p w:rsidR="00391BB8" w:rsidRDefault="00391BB8"/>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 w:rsidR="00B91F2C" w:rsidRDefault="00B91F2C">
      <w:pPr>
        <w:sectPr w:rsidR="00B91F2C">
          <w:pgSz w:w="11906" w:h="16838"/>
          <w:pgMar w:top="1134" w:right="850" w:bottom="1134" w:left="1417" w:header="454" w:footer="454" w:gutter="0"/>
          <w:cols w:space="720"/>
        </w:sectPr>
      </w:pPr>
    </w:p>
    <w:p w:rsidR="00B91F2C" w:rsidRPr="00E15EC1" w:rsidRDefault="00B91F2C" w:rsidP="00B91F2C">
      <w:pPr>
        <w:pStyle w:val="Tytu"/>
      </w:pPr>
      <w:r w:rsidRPr="00E15EC1">
        <w:lastRenderedPageBreak/>
        <w:t>KARTA AKTUALIZACJI KP-611-</w:t>
      </w:r>
      <w:r>
        <w:t>446-</w:t>
      </w:r>
      <w:r w:rsidRPr="00E15EC1">
        <w:t>ARiMR/</w:t>
      </w:r>
      <w:r w:rsidR="00CD0E68">
        <w:t>2z</w:t>
      </w:r>
    </w:p>
    <w:p w:rsidR="00B91F2C" w:rsidRPr="00E15EC1" w:rsidRDefault="00B91F2C" w:rsidP="00B91F2C">
      <w:pPr>
        <w:pStyle w:val="Tytu"/>
        <w:jc w:val="left"/>
      </w:pPr>
    </w:p>
    <w:p w:rsidR="00B91F2C" w:rsidRPr="00EC4B46" w:rsidRDefault="00B91F2C" w:rsidP="00B91F2C">
      <w:pPr>
        <w:pStyle w:val="Tytu"/>
        <w:jc w:val="left"/>
        <w:rPr>
          <w:b w:val="0"/>
          <w:bCs w:val="0"/>
          <w:sz w:val="24"/>
        </w:rPr>
      </w:pPr>
      <w:r w:rsidRPr="00E15EC1">
        <w:rPr>
          <w:sz w:val="24"/>
        </w:rPr>
        <w:t>Znak sprawy: DDD</w:t>
      </w:r>
      <w:r>
        <w:rPr>
          <w:sz w:val="24"/>
        </w:rPr>
        <w:t>-WOKiPO.611.4.2018.DO</w:t>
      </w:r>
    </w:p>
    <w:p w:rsidR="00B91F2C" w:rsidRPr="001A6986" w:rsidRDefault="00B91F2C" w:rsidP="00B91F2C">
      <w:pPr>
        <w:pStyle w:val="Tekstpodstawowy"/>
        <w:rPr>
          <w:bCs/>
        </w:rPr>
      </w:pPr>
      <w:r w:rsidRPr="001A6986">
        <w:rPr>
          <w:bCs/>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4234"/>
        <w:gridCol w:w="2848"/>
        <w:gridCol w:w="3934"/>
        <w:gridCol w:w="2708"/>
      </w:tblGrid>
      <w:tr w:rsidR="00B91F2C" w:rsidRPr="00E15EC1" w:rsidTr="007B3D08">
        <w:tc>
          <w:tcPr>
            <w:tcW w:w="287" w:type="pct"/>
            <w:shd w:val="clear" w:color="auto" w:fill="B3B3B3"/>
            <w:vAlign w:val="center"/>
          </w:tcPr>
          <w:p w:rsidR="00B91F2C" w:rsidRPr="00E15EC1" w:rsidRDefault="00B91F2C" w:rsidP="007B3D08">
            <w:pPr>
              <w:jc w:val="center"/>
              <w:rPr>
                <w:b/>
                <w:bCs/>
                <w:sz w:val="28"/>
              </w:rPr>
            </w:pPr>
            <w:r w:rsidRPr="00E15EC1">
              <w:rPr>
                <w:b/>
                <w:bCs/>
                <w:sz w:val="28"/>
              </w:rPr>
              <w:t>Lp.</w:t>
            </w:r>
          </w:p>
        </w:tc>
        <w:tc>
          <w:tcPr>
            <w:tcW w:w="1454" w:type="pct"/>
            <w:shd w:val="clear" w:color="auto" w:fill="B3B3B3"/>
            <w:vAlign w:val="center"/>
          </w:tcPr>
          <w:p w:rsidR="00B91F2C" w:rsidRPr="00E15EC1" w:rsidRDefault="00B91F2C" w:rsidP="007B3D08">
            <w:pPr>
              <w:jc w:val="center"/>
              <w:rPr>
                <w:b/>
                <w:bCs/>
                <w:sz w:val="28"/>
              </w:rPr>
            </w:pPr>
            <w:r w:rsidRPr="00E15EC1">
              <w:rPr>
                <w:b/>
                <w:bCs/>
                <w:sz w:val="28"/>
              </w:rPr>
              <w:t>Przyczyna zmiany</w:t>
            </w:r>
            <w:r w:rsidRPr="00E15EC1">
              <w:rPr>
                <w:rStyle w:val="Odwoanieprzypisudolnego"/>
                <w:rFonts w:eastAsia="Calibri"/>
                <w:b/>
                <w:bCs/>
                <w:sz w:val="28"/>
              </w:rPr>
              <w:footnoteReference w:id="2"/>
            </w:r>
          </w:p>
        </w:tc>
        <w:tc>
          <w:tcPr>
            <w:tcW w:w="978" w:type="pct"/>
            <w:shd w:val="clear" w:color="auto" w:fill="B3B3B3"/>
            <w:vAlign w:val="center"/>
          </w:tcPr>
          <w:p w:rsidR="00B91F2C" w:rsidRPr="00E15EC1" w:rsidRDefault="00B91F2C" w:rsidP="007B3D08">
            <w:pPr>
              <w:jc w:val="center"/>
              <w:rPr>
                <w:b/>
                <w:bCs/>
                <w:sz w:val="28"/>
              </w:rPr>
            </w:pPr>
            <w:r w:rsidRPr="00E15EC1">
              <w:rPr>
                <w:b/>
                <w:bCs/>
                <w:sz w:val="28"/>
              </w:rPr>
              <w:t xml:space="preserve">Miejsce wprowadzenia </w:t>
            </w:r>
          </w:p>
          <w:p w:rsidR="00B91F2C" w:rsidRPr="00E15EC1" w:rsidRDefault="00B91F2C" w:rsidP="007B3D08">
            <w:pPr>
              <w:jc w:val="center"/>
              <w:rPr>
                <w:b/>
                <w:bCs/>
                <w:sz w:val="28"/>
              </w:rPr>
            </w:pPr>
            <w:r w:rsidRPr="00E15EC1">
              <w:rPr>
                <w:b/>
                <w:bCs/>
                <w:sz w:val="28"/>
              </w:rPr>
              <w:t>zmiany</w:t>
            </w:r>
            <w:r w:rsidRPr="00E15EC1">
              <w:rPr>
                <w:rStyle w:val="Odwoanieprzypisudolnego"/>
                <w:rFonts w:eastAsia="Calibri"/>
                <w:b/>
                <w:bCs/>
                <w:sz w:val="28"/>
              </w:rPr>
              <w:footnoteReference w:id="3"/>
            </w:r>
          </w:p>
        </w:tc>
        <w:tc>
          <w:tcPr>
            <w:tcW w:w="1351" w:type="pct"/>
            <w:shd w:val="clear" w:color="auto" w:fill="B3B3B3"/>
            <w:vAlign w:val="center"/>
          </w:tcPr>
          <w:p w:rsidR="00B91F2C" w:rsidRPr="00E15EC1" w:rsidRDefault="00B91F2C" w:rsidP="007B3D08">
            <w:pPr>
              <w:jc w:val="center"/>
              <w:rPr>
                <w:b/>
                <w:bCs/>
                <w:sz w:val="28"/>
              </w:rPr>
            </w:pPr>
            <w:r w:rsidRPr="00E15EC1">
              <w:rPr>
                <w:b/>
                <w:bCs/>
                <w:sz w:val="28"/>
              </w:rPr>
              <w:t>Opis wprowadzonej zmiany</w:t>
            </w:r>
            <w:r w:rsidRPr="00E15EC1">
              <w:rPr>
                <w:rStyle w:val="Odwoanieprzypisudolnego"/>
                <w:rFonts w:eastAsia="Calibri"/>
                <w:b/>
                <w:bCs/>
                <w:sz w:val="28"/>
              </w:rPr>
              <w:footnoteReference w:id="4"/>
            </w:r>
          </w:p>
        </w:tc>
        <w:tc>
          <w:tcPr>
            <w:tcW w:w="930" w:type="pct"/>
            <w:shd w:val="clear" w:color="auto" w:fill="B3B3B3"/>
            <w:vAlign w:val="center"/>
          </w:tcPr>
          <w:p w:rsidR="00B91F2C" w:rsidRPr="00E15EC1" w:rsidRDefault="00B91F2C" w:rsidP="007B3D08">
            <w:pPr>
              <w:jc w:val="center"/>
              <w:rPr>
                <w:b/>
                <w:bCs/>
                <w:sz w:val="28"/>
              </w:rPr>
            </w:pPr>
            <w:r w:rsidRPr="00E15EC1">
              <w:rPr>
                <w:b/>
                <w:bCs/>
                <w:sz w:val="28"/>
              </w:rPr>
              <w:t>Numer oraz propozycja zmiany do KP, na którą ma wpływ proponowana zmiana</w:t>
            </w:r>
            <w:r w:rsidRPr="00E15EC1">
              <w:rPr>
                <w:rStyle w:val="Odwoanieprzypisudolnego"/>
                <w:rFonts w:eastAsia="Calibri"/>
                <w:b/>
                <w:bCs/>
                <w:sz w:val="28"/>
              </w:rPr>
              <w:t xml:space="preserve"> </w:t>
            </w:r>
            <w:r w:rsidRPr="00E15EC1">
              <w:rPr>
                <w:rStyle w:val="Odwoanieprzypisudolnego"/>
                <w:rFonts w:eastAsia="Calibri"/>
                <w:b/>
                <w:bCs/>
                <w:sz w:val="28"/>
              </w:rPr>
              <w:footnoteReference w:id="5"/>
            </w:r>
          </w:p>
        </w:tc>
      </w:tr>
      <w:tr w:rsidR="00B91F2C" w:rsidRPr="00E15EC1" w:rsidTr="007B3D08">
        <w:tc>
          <w:tcPr>
            <w:tcW w:w="287" w:type="pct"/>
          </w:tcPr>
          <w:p w:rsidR="00B91F2C" w:rsidRPr="00E147CA" w:rsidRDefault="00B91F2C" w:rsidP="007B3D08">
            <w:pPr>
              <w:rPr>
                <w:b/>
                <w:bCs/>
              </w:rPr>
            </w:pPr>
            <w:r w:rsidRPr="00E147CA">
              <w:rPr>
                <w:b/>
                <w:bCs/>
              </w:rPr>
              <w:t>1.</w:t>
            </w:r>
          </w:p>
        </w:tc>
        <w:tc>
          <w:tcPr>
            <w:tcW w:w="1454" w:type="pct"/>
          </w:tcPr>
          <w:p w:rsidR="00B91F2C" w:rsidRPr="00B91F2C" w:rsidRDefault="00B91F2C" w:rsidP="007B3D08">
            <w:pPr>
              <w:pStyle w:val="Bezodstpw"/>
              <w:rPr>
                <w:sz w:val="20"/>
                <w:szCs w:val="20"/>
                <w:lang w:val="pl-PL"/>
              </w:rPr>
            </w:pPr>
            <w:r w:rsidRPr="00B91F2C">
              <w:rPr>
                <w:sz w:val="20"/>
                <w:szCs w:val="20"/>
                <w:lang w:val="pl-PL"/>
              </w:rPr>
              <w:t>Zgodnie z zaleceniem nr 3.2.1.12 ze Sprawozdania wstępnego audytu  desygnacyjnego PO „Rybactwo i Morze” związanego z wdrażaniem priorytetu 4 rekomendującego opracowanie procedury wskazującej sposób postępowania w przypadku stwierdzenia błędu systemowego przez własne komórki i instytucje zewnętrzne oraz zapewniające weryfikację skutków oddziaływania błędu systemowego, w szczególności błędów systemowych skutkujących nie kwalifikowalnością wydatków, a także podjęcie działań naprawczych IZ zobowiązała Agencje do wdrożenia ustalenia, wprowadzając zapisy analogiczne do zawartych w procedurze KP-611-243-ARiMR „</w:t>
            </w:r>
            <w:r w:rsidRPr="00B91F2C">
              <w:rPr>
                <w:i/>
                <w:sz w:val="20"/>
                <w:szCs w:val="20"/>
                <w:lang w:val="pl-PL"/>
              </w:rPr>
              <w:t>Przekazywanie informacji o nieprawidłowościach w zakresie działań wdrażanych przez ARiMR</w:t>
            </w:r>
            <w:r w:rsidRPr="00B91F2C">
              <w:rPr>
                <w:sz w:val="20"/>
                <w:szCs w:val="20"/>
                <w:lang w:val="pl-PL"/>
              </w:rPr>
              <w:t>”</w:t>
            </w:r>
          </w:p>
        </w:tc>
        <w:tc>
          <w:tcPr>
            <w:tcW w:w="978" w:type="pct"/>
          </w:tcPr>
          <w:p w:rsidR="00B91F2C" w:rsidRPr="00CC5823" w:rsidRDefault="00B91F2C" w:rsidP="007B3D08">
            <w:pPr>
              <w:rPr>
                <w:sz w:val="20"/>
              </w:rPr>
            </w:pPr>
            <w:r>
              <w:rPr>
                <w:sz w:val="20"/>
              </w:rPr>
              <w:t>Cała KP</w:t>
            </w:r>
          </w:p>
        </w:tc>
        <w:tc>
          <w:tcPr>
            <w:tcW w:w="1351" w:type="pct"/>
          </w:tcPr>
          <w:p w:rsidR="00B91F2C" w:rsidRPr="00E147CA" w:rsidRDefault="00B91F2C" w:rsidP="007B3D08">
            <w:r w:rsidRPr="00571F96">
              <w:rPr>
                <w:sz w:val="20"/>
              </w:rPr>
              <w:t>Zgodnie z rekomendacją opracowano ścieżkę postępowania w przypadku wystąpienia błędu systemowego/administracyjnego</w:t>
            </w:r>
            <w:r>
              <w:t xml:space="preserve">. </w:t>
            </w:r>
          </w:p>
        </w:tc>
        <w:tc>
          <w:tcPr>
            <w:tcW w:w="930" w:type="pct"/>
          </w:tcPr>
          <w:p w:rsidR="00B91F2C" w:rsidRPr="00E147CA" w:rsidRDefault="00B91F2C" w:rsidP="007B3D08">
            <w:r w:rsidRPr="00CC5823">
              <w:rPr>
                <w:sz w:val="20"/>
              </w:rPr>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Pr="00E147CA" w:rsidRDefault="00CD0E68" w:rsidP="00CD0E68">
            <w:pPr>
              <w:rPr>
                <w:b/>
                <w:bCs/>
              </w:rPr>
            </w:pPr>
            <w:r>
              <w:rPr>
                <w:b/>
                <w:bCs/>
              </w:rPr>
              <w:t>2.</w:t>
            </w:r>
          </w:p>
        </w:tc>
        <w:tc>
          <w:tcPr>
            <w:tcW w:w="1454" w:type="pct"/>
            <w:tcBorders>
              <w:top w:val="single" w:sz="4" w:space="0" w:color="auto"/>
              <w:left w:val="single" w:sz="4" w:space="0" w:color="auto"/>
              <w:bottom w:val="single" w:sz="4" w:space="0" w:color="auto"/>
              <w:right w:val="single" w:sz="4" w:space="0" w:color="auto"/>
            </w:tcBorders>
          </w:tcPr>
          <w:p w:rsidR="00CD0E68" w:rsidRPr="00B91F2C" w:rsidRDefault="00CD0E68" w:rsidP="00CD0E68">
            <w:pPr>
              <w:pStyle w:val="Bezodstpw"/>
              <w:rPr>
                <w:sz w:val="20"/>
                <w:szCs w:val="20"/>
                <w:lang w:val="pl-PL"/>
              </w:rPr>
            </w:pPr>
            <w:r w:rsidRPr="00B91F2C">
              <w:rPr>
                <w:sz w:val="20"/>
                <w:szCs w:val="20"/>
                <w:lang w:val="pl-PL"/>
              </w:rPr>
              <w:t xml:space="preserve">Dopracowanie diagramu zgodnie z załącznikami </w:t>
            </w:r>
            <w:bookmarkStart w:id="42" w:name="_GoBack"/>
            <w:bookmarkEnd w:id="42"/>
            <w:r w:rsidRPr="00B91F2C">
              <w:rPr>
                <w:sz w:val="20"/>
                <w:szCs w:val="20"/>
                <w:lang w:val="pl-PL"/>
              </w:rPr>
              <w:t>do KP</w:t>
            </w:r>
          </w:p>
        </w:tc>
        <w:tc>
          <w:tcPr>
            <w:tcW w:w="978" w:type="pct"/>
            <w:tcBorders>
              <w:top w:val="single" w:sz="4" w:space="0" w:color="auto"/>
              <w:left w:val="single" w:sz="4" w:space="0" w:color="auto"/>
              <w:bottom w:val="single" w:sz="4" w:space="0" w:color="auto"/>
              <w:right w:val="single" w:sz="4" w:space="0" w:color="auto"/>
            </w:tcBorders>
          </w:tcPr>
          <w:p w:rsidR="00CD0E68" w:rsidRDefault="00CD0E68" w:rsidP="00CD0E68">
            <w:pPr>
              <w:rPr>
                <w:sz w:val="20"/>
              </w:rPr>
            </w:pPr>
            <w:r>
              <w:rPr>
                <w:sz w:val="20"/>
              </w:rPr>
              <w:t>Diagram 1.1.4.1</w:t>
            </w:r>
          </w:p>
        </w:tc>
        <w:tc>
          <w:tcPr>
            <w:tcW w:w="1351" w:type="pct"/>
            <w:tcBorders>
              <w:top w:val="single" w:sz="4" w:space="0" w:color="auto"/>
              <w:left w:val="single" w:sz="4" w:space="0" w:color="auto"/>
              <w:bottom w:val="single" w:sz="4" w:space="0" w:color="auto"/>
              <w:right w:val="single" w:sz="4" w:space="0" w:color="auto"/>
            </w:tcBorders>
          </w:tcPr>
          <w:p w:rsidR="00CD0E68" w:rsidRPr="00B91F2C" w:rsidRDefault="00CD0E68" w:rsidP="00CD0E68">
            <w:pPr>
              <w:rPr>
                <w:sz w:val="20"/>
              </w:rPr>
            </w:pPr>
            <w:r w:rsidRPr="00B91F2C">
              <w:rPr>
                <w:sz w:val="20"/>
              </w:rPr>
              <w:t>Zmieniono Tytuł diagramu „Postępowanie wyjaśniające” na  „Rozpatrywanie, stwierdzanie i przekazywanie informacji o nieprawidłowościach”</w:t>
            </w:r>
          </w:p>
          <w:p w:rsidR="00CD0E68" w:rsidRPr="00B91F2C" w:rsidRDefault="00CD0E68" w:rsidP="00CD0E68">
            <w:pPr>
              <w:rPr>
                <w:sz w:val="20"/>
              </w:rPr>
            </w:pPr>
            <w:r w:rsidRPr="00B91F2C">
              <w:rPr>
                <w:sz w:val="20"/>
              </w:rPr>
              <w:lastRenderedPageBreak/>
              <w:t>Przemodelowano graf w miejscu dot. Raportowania nieprawidłowości niepodlegających raportowaniu do KE</w:t>
            </w:r>
            <w:r>
              <w:rPr>
                <w:sz w:val="20"/>
              </w:rPr>
              <w:t>, zmiana techniczna usunięto wyrazy sysstemu IRII i dodano iż IRII = IZ.</w:t>
            </w:r>
          </w:p>
        </w:tc>
        <w:tc>
          <w:tcPr>
            <w:tcW w:w="930" w:type="pct"/>
            <w:tcBorders>
              <w:top w:val="single" w:sz="4" w:space="0" w:color="auto"/>
              <w:left w:val="single" w:sz="4" w:space="0" w:color="auto"/>
              <w:bottom w:val="single" w:sz="4" w:space="0" w:color="auto"/>
              <w:right w:val="single" w:sz="4" w:space="0" w:color="auto"/>
            </w:tcBorders>
          </w:tcPr>
          <w:p w:rsidR="00CD0E68" w:rsidRDefault="00CD0E68" w:rsidP="00CD0E68">
            <w:r w:rsidRPr="00F4682C">
              <w:rPr>
                <w:sz w:val="20"/>
              </w:rPr>
              <w:lastRenderedPageBreak/>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Default="00CD0E68" w:rsidP="00CD0E68">
            <w:pPr>
              <w:rPr>
                <w:b/>
                <w:bCs/>
              </w:rPr>
            </w:pPr>
            <w:r>
              <w:rPr>
                <w:b/>
                <w:bCs/>
              </w:rPr>
              <w:t>3.</w:t>
            </w:r>
          </w:p>
        </w:tc>
        <w:tc>
          <w:tcPr>
            <w:tcW w:w="1454" w:type="pct"/>
            <w:tcBorders>
              <w:top w:val="single" w:sz="4" w:space="0" w:color="auto"/>
              <w:left w:val="single" w:sz="4" w:space="0" w:color="auto"/>
              <w:bottom w:val="single" w:sz="4" w:space="0" w:color="auto"/>
              <w:right w:val="single" w:sz="4" w:space="0" w:color="auto"/>
            </w:tcBorders>
          </w:tcPr>
          <w:p w:rsidR="00CD0E68" w:rsidRPr="00B91F2C" w:rsidRDefault="00CD0E68" w:rsidP="00CD0E68">
            <w:pPr>
              <w:pStyle w:val="Bezodstpw"/>
              <w:rPr>
                <w:sz w:val="20"/>
                <w:szCs w:val="20"/>
                <w:lang w:val="pl-PL"/>
              </w:rPr>
            </w:pPr>
            <w:r>
              <w:rPr>
                <w:sz w:val="20"/>
                <w:szCs w:val="20"/>
                <w:lang w:val="pl-PL"/>
              </w:rPr>
              <w:t>Doprecyzowanie definicji nieprawidłowości systemowej.</w:t>
            </w:r>
          </w:p>
        </w:tc>
        <w:tc>
          <w:tcPr>
            <w:tcW w:w="978" w:type="pct"/>
            <w:tcBorders>
              <w:top w:val="single" w:sz="4" w:space="0" w:color="auto"/>
              <w:left w:val="single" w:sz="4" w:space="0" w:color="auto"/>
              <w:bottom w:val="single" w:sz="4" w:space="0" w:color="auto"/>
              <w:right w:val="single" w:sz="4" w:space="0" w:color="auto"/>
            </w:tcBorders>
          </w:tcPr>
          <w:p w:rsidR="00CD0E68" w:rsidRDefault="00CD0E68" w:rsidP="00CD0E68">
            <w:pPr>
              <w:rPr>
                <w:sz w:val="20"/>
              </w:rPr>
            </w:pPr>
            <w:r>
              <w:rPr>
                <w:sz w:val="20"/>
              </w:rPr>
              <w:t>Reguły 1.1.5</w:t>
            </w:r>
          </w:p>
        </w:tc>
        <w:tc>
          <w:tcPr>
            <w:tcW w:w="1351" w:type="pct"/>
            <w:tcBorders>
              <w:top w:val="single" w:sz="4" w:space="0" w:color="auto"/>
              <w:left w:val="single" w:sz="4" w:space="0" w:color="auto"/>
              <w:bottom w:val="single" w:sz="4" w:space="0" w:color="auto"/>
              <w:right w:val="single" w:sz="4" w:space="0" w:color="auto"/>
            </w:tcBorders>
          </w:tcPr>
          <w:p w:rsidR="00CD0E68" w:rsidRPr="00597DA9" w:rsidRDefault="00CD0E68" w:rsidP="00CD0E68">
            <w:pPr>
              <w:spacing w:after="160" w:line="259" w:lineRule="auto"/>
              <w:contextualSpacing/>
              <w:jc w:val="both"/>
              <w:rPr>
                <w:sz w:val="22"/>
                <w:szCs w:val="22"/>
              </w:rPr>
            </w:pPr>
            <w:r>
              <w:rPr>
                <w:sz w:val="20"/>
              </w:rPr>
              <w:t xml:space="preserve">Do definicji dodano – </w:t>
            </w:r>
            <w:r w:rsidRPr="00597DA9">
              <w:rPr>
                <w:sz w:val="22"/>
                <w:szCs w:val="22"/>
              </w:rPr>
              <w:t>„zgodnie z rozporządzeniem 1303/2013 oraz z przepisami dotyczącymi poszczególnych funduszy”, zgodnie z brzmieniem art. 2 pkt 38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CD0E68" w:rsidRPr="00B91F2C" w:rsidRDefault="00CD0E68" w:rsidP="00CD0E68">
            <w:pPr>
              <w:rPr>
                <w:sz w:val="20"/>
              </w:rPr>
            </w:pPr>
          </w:p>
        </w:tc>
        <w:tc>
          <w:tcPr>
            <w:tcW w:w="930" w:type="pct"/>
            <w:tcBorders>
              <w:top w:val="single" w:sz="4" w:space="0" w:color="auto"/>
              <w:left w:val="single" w:sz="4" w:space="0" w:color="auto"/>
              <w:bottom w:val="single" w:sz="4" w:space="0" w:color="auto"/>
              <w:right w:val="single" w:sz="4" w:space="0" w:color="auto"/>
            </w:tcBorders>
          </w:tcPr>
          <w:p w:rsidR="00CD0E68" w:rsidRDefault="00CD0E68" w:rsidP="00CD0E68">
            <w:r w:rsidRPr="00F4682C">
              <w:rPr>
                <w:sz w:val="20"/>
              </w:rPr>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Default="00CD0E68" w:rsidP="00CD0E68">
            <w:pPr>
              <w:rPr>
                <w:b/>
                <w:bCs/>
              </w:rPr>
            </w:pPr>
            <w:r>
              <w:rPr>
                <w:b/>
                <w:bCs/>
              </w:rPr>
              <w:t xml:space="preserve">4. </w:t>
            </w:r>
          </w:p>
        </w:tc>
        <w:tc>
          <w:tcPr>
            <w:tcW w:w="1454" w:type="pct"/>
            <w:tcBorders>
              <w:top w:val="single" w:sz="4" w:space="0" w:color="auto"/>
              <w:left w:val="single" w:sz="4" w:space="0" w:color="auto"/>
              <w:bottom w:val="single" w:sz="4" w:space="0" w:color="auto"/>
              <w:right w:val="single" w:sz="4" w:space="0" w:color="auto"/>
            </w:tcBorders>
          </w:tcPr>
          <w:p w:rsidR="00CD0E68" w:rsidRDefault="00CD0E68" w:rsidP="00CD0E68">
            <w:pPr>
              <w:pStyle w:val="Bezodstpw"/>
              <w:rPr>
                <w:sz w:val="20"/>
                <w:szCs w:val="20"/>
                <w:lang w:val="pl-PL"/>
              </w:rPr>
            </w:pPr>
            <w:r>
              <w:rPr>
                <w:sz w:val="20"/>
                <w:szCs w:val="20"/>
                <w:lang w:val="pl-PL"/>
              </w:rPr>
              <w:t>Doprecyzowanie reguły 3</w:t>
            </w:r>
          </w:p>
        </w:tc>
        <w:tc>
          <w:tcPr>
            <w:tcW w:w="978" w:type="pct"/>
            <w:tcBorders>
              <w:top w:val="single" w:sz="4" w:space="0" w:color="auto"/>
              <w:left w:val="single" w:sz="4" w:space="0" w:color="auto"/>
              <w:bottom w:val="single" w:sz="4" w:space="0" w:color="auto"/>
              <w:right w:val="single" w:sz="4" w:space="0" w:color="auto"/>
            </w:tcBorders>
          </w:tcPr>
          <w:p w:rsidR="00CD0E68" w:rsidRDefault="00CD0E68" w:rsidP="00CD0E68">
            <w:pPr>
              <w:rPr>
                <w:sz w:val="20"/>
              </w:rPr>
            </w:pPr>
            <w:r w:rsidRPr="00597DA9">
              <w:rPr>
                <w:sz w:val="22"/>
                <w:szCs w:val="22"/>
              </w:rPr>
              <w:t>1.1.5 Reguły związane z przebiegiem procesu, R.3</w:t>
            </w:r>
          </w:p>
        </w:tc>
        <w:tc>
          <w:tcPr>
            <w:tcW w:w="1351" w:type="pct"/>
            <w:tcBorders>
              <w:top w:val="single" w:sz="4" w:space="0" w:color="auto"/>
              <w:left w:val="single" w:sz="4" w:space="0" w:color="auto"/>
              <w:bottom w:val="single" w:sz="4" w:space="0" w:color="auto"/>
              <w:right w:val="single" w:sz="4" w:space="0" w:color="auto"/>
            </w:tcBorders>
          </w:tcPr>
          <w:p w:rsidR="00CD0E68" w:rsidRDefault="00CD0E68" w:rsidP="00CD0E68">
            <w:pPr>
              <w:spacing w:after="160" w:line="259" w:lineRule="auto"/>
              <w:contextualSpacing/>
              <w:jc w:val="both"/>
              <w:rPr>
                <w:sz w:val="20"/>
              </w:rPr>
            </w:pPr>
            <w:r>
              <w:rPr>
                <w:sz w:val="20"/>
              </w:rPr>
              <w:t xml:space="preserve">Usunięcie z reguły - </w:t>
            </w:r>
            <w:r w:rsidRPr="00D0479E">
              <w:rPr>
                <w:i/>
                <w:sz w:val="22"/>
                <w:szCs w:val="22"/>
              </w:rPr>
              <w:t>w przypadku perspektywy finansowej 2004-2006 oraz 2007-2013 zgłoszeniu do KE podlegają również przypadki, w których wkład funduszy UE w kwocie nieprawidłowości wynosi dokładnie 10 tys. euro</w:t>
            </w:r>
          </w:p>
        </w:tc>
        <w:tc>
          <w:tcPr>
            <w:tcW w:w="930" w:type="pct"/>
            <w:tcBorders>
              <w:top w:val="single" w:sz="4" w:space="0" w:color="auto"/>
              <w:left w:val="single" w:sz="4" w:space="0" w:color="auto"/>
              <w:bottom w:val="single" w:sz="4" w:space="0" w:color="auto"/>
              <w:right w:val="single" w:sz="4" w:space="0" w:color="auto"/>
            </w:tcBorders>
          </w:tcPr>
          <w:p w:rsidR="00CD0E68" w:rsidRDefault="00CD0E68" w:rsidP="00CD0E68">
            <w:r w:rsidRPr="00F4682C">
              <w:rPr>
                <w:sz w:val="20"/>
              </w:rPr>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Default="00CD0E68" w:rsidP="00CD0E68">
            <w:pPr>
              <w:rPr>
                <w:b/>
                <w:bCs/>
              </w:rPr>
            </w:pPr>
            <w:r>
              <w:rPr>
                <w:b/>
                <w:bCs/>
              </w:rPr>
              <w:t>5.</w:t>
            </w:r>
          </w:p>
        </w:tc>
        <w:tc>
          <w:tcPr>
            <w:tcW w:w="1454"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pStyle w:val="Bezodstpw"/>
              <w:rPr>
                <w:sz w:val="22"/>
                <w:szCs w:val="22"/>
                <w:lang w:val="pl-PL"/>
              </w:rPr>
            </w:pPr>
            <w:r w:rsidRPr="00CD0E68">
              <w:rPr>
                <w:sz w:val="22"/>
                <w:szCs w:val="22"/>
                <w:lang w:val="pl-PL"/>
              </w:rPr>
              <w:t>Doprecyzowanie reguły 9</w:t>
            </w:r>
          </w:p>
        </w:tc>
        <w:tc>
          <w:tcPr>
            <w:tcW w:w="978"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rPr>
                <w:sz w:val="22"/>
                <w:szCs w:val="22"/>
              </w:rPr>
            </w:pPr>
            <w:r w:rsidRPr="00CD0E68">
              <w:rPr>
                <w:sz w:val="22"/>
                <w:szCs w:val="22"/>
              </w:rPr>
              <w:t>w cz. 1.1.5. Reguły związane z przebiegiem procesu R.9 str. 14</w:t>
            </w:r>
          </w:p>
        </w:tc>
        <w:tc>
          <w:tcPr>
            <w:tcW w:w="1351"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spacing w:after="160" w:line="259" w:lineRule="auto"/>
              <w:contextualSpacing/>
              <w:jc w:val="both"/>
              <w:rPr>
                <w:sz w:val="22"/>
                <w:szCs w:val="22"/>
              </w:rPr>
            </w:pPr>
            <w:r w:rsidRPr="00CD0E68">
              <w:rPr>
                <w:sz w:val="22"/>
                <w:szCs w:val="22"/>
              </w:rPr>
              <w:t>Uzupełniono zapis o „</w:t>
            </w:r>
            <w:r w:rsidRPr="00CD0E68">
              <w:rPr>
                <w:i/>
                <w:sz w:val="22"/>
                <w:szCs w:val="22"/>
              </w:rPr>
              <w:t xml:space="preserve">Każde Zawiadomienie o podejrzeniu popełnienia przestępstwa/wykroczenia obligatoryjnie </w:t>
            </w:r>
            <w:r w:rsidRPr="00CD0E68">
              <w:rPr>
                <w:i/>
                <w:sz w:val="22"/>
                <w:szCs w:val="22"/>
              </w:rPr>
              <w:lastRenderedPageBreak/>
              <w:t>podlega sprawdzeniu i parafowaniu przez radcę prawnego zatrudnionego w danej IP. Zawiadomienie podpisuje organ danej IP lub osoba upoważniona”</w:t>
            </w:r>
          </w:p>
        </w:tc>
        <w:tc>
          <w:tcPr>
            <w:tcW w:w="930" w:type="pct"/>
            <w:tcBorders>
              <w:top w:val="single" w:sz="4" w:space="0" w:color="auto"/>
              <w:left w:val="single" w:sz="4" w:space="0" w:color="auto"/>
              <w:bottom w:val="single" w:sz="4" w:space="0" w:color="auto"/>
              <w:right w:val="single" w:sz="4" w:space="0" w:color="auto"/>
            </w:tcBorders>
          </w:tcPr>
          <w:p w:rsidR="00CD0E68" w:rsidRDefault="00CD0E68" w:rsidP="00CD0E68">
            <w:r w:rsidRPr="00F4682C">
              <w:rPr>
                <w:sz w:val="20"/>
              </w:rPr>
              <w:lastRenderedPageBreak/>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Default="00CD0E68" w:rsidP="00CD0E68">
            <w:pPr>
              <w:rPr>
                <w:b/>
                <w:bCs/>
              </w:rPr>
            </w:pPr>
            <w:r>
              <w:rPr>
                <w:b/>
                <w:bCs/>
              </w:rPr>
              <w:t>6</w:t>
            </w:r>
          </w:p>
        </w:tc>
        <w:tc>
          <w:tcPr>
            <w:tcW w:w="1454"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pStyle w:val="Bezodstpw"/>
              <w:rPr>
                <w:sz w:val="22"/>
                <w:szCs w:val="22"/>
                <w:lang w:val="pl-PL"/>
              </w:rPr>
            </w:pPr>
            <w:r w:rsidRPr="00CD0E68">
              <w:rPr>
                <w:sz w:val="22"/>
                <w:szCs w:val="22"/>
                <w:lang w:val="pl-PL"/>
              </w:rPr>
              <w:t>Doprecyzowanie Reguły 11</w:t>
            </w:r>
          </w:p>
        </w:tc>
        <w:tc>
          <w:tcPr>
            <w:tcW w:w="978"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rPr>
                <w:sz w:val="22"/>
                <w:szCs w:val="22"/>
              </w:rPr>
            </w:pPr>
            <w:r w:rsidRPr="00CD0E68">
              <w:rPr>
                <w:sz w:val="22"/>
                <w:szCs w:val="22"/>
              </w:rPr>
              <w:t>w cz. 1.1.5. Reguły związane z przebiegiem procesu R.11 str. 17</w:t>
            </w:r>
          </w:p>
        </w:tc>
        <w:tc>
          <w:tcPr>
            <w:tcW w:w="1351"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spacing w:after="160" w:line="259" w:lineRule="auto"/>
              <w:contextualSpacing/>
              <w:jc w:val="both"/>
              <w:rPr>
                <w:i/>
                <w:sz w:val="22"/>
                <w:szCs w:val="22"/>
              </w:rPr>
            </w:pPr>
            <w:r w:rsidRPr="00CD0E68">
              <w:rPr>
                <w:sz w:val="22"/>
                <w:szCs w:val="22"/>
              </w:rPr>
              <w:t xml:space="preserve">Po </w:t>
            </w:r>
            <w:r>
              <w:rPr>
                <w:sz w:val="22"/>
                <w:szCs w:val="22"/>
              </w:rPr>
              <w:t xml:space="preserve">zdaniu - </w:t>
            </w:r>
            <w:r w:rsidRPr="00CD0E68">
              <w:rPr>
                <w:sz w:val="22"/>
                <w:szCs w:val="22"/>
              </w:rPr>
              <w:t xml:space="preserve">Minister Finansów, zgodnie art. 210 u.f.p., prowadzi </w:t>
            </w:r>
            <w:r w:rsidRPr="00CD0E68">
              <w:rPr>
                <w:bCs/>
                <w:sz w:val="22"/>
                <w:szCs w:val="22"/>
              </w:rPr>
              <w:t>rejestr podmiotów</w:t>
            </w:r>
            <w:r w:rsidRPr="00CD0E68">
              <w:rPr>
                <w:sz w:val="22"/>
                <w:szCs w:val="22"/>
              </w:rPr>
              <w:t xml:space="preserve"> wykluczonych na podstawie art. 207 ustawy, oraz udostępnia te informacje instytucjom zarządzającym, instytucjom pośredniczącym, instytucjom wdrażającym i instytucji certyfikującej dodano zapis </w:t>
            </w:r>
            <w:r w:rsidRPr="00CD0E68">
              <w:rPr>
                <w:i/>
                <w:sz w:val="22"/>
                <w:szCs w:val="22"/>
              </w:rPr>
              <w:t>a także beneficjentom w zakresie ich własnego statusu”,</w:t>
            </w:r>
          </w:p>
          <w:p w:rsidR="00CD0E68" w:rsidRPr="00CD0E68" w:rsidRDefault="00CD0E68" w:rsidP="00CD0E68">
            <w:pPr>
              <w:spacing w:after="160" w:line="259" w:lineRule="auto"/>
              <w:contextualSpacing/>
              <w:jc w:val="both"/>
              <w:rPr>
                <w:sz w:val="22"/>
                <w:szCs w:val="22"/>
              </w:rPr>
            </w:pPr>
            <w:r w:rsidRPr="00CD0E68">
              <w:rPr>
                <w:sz w:val="22"/>
                <w:szCs w:val="22"/>
              </w:rPr>
              <w:t>Przywołanie właściwych przepisów rozporządzenie Ministra Finansów z dnia 18 stycznia 2018 r. w sprawie rejestru podmiotów wykluczonych z możliwości otrzymania środków przeznaczonych na realizację programów finansowanych z udziałem środków europejskich [Dz.U. z 2018 r. poz. 307],</w:t>
            </w:r>
          </w:p>
          <w:p w:rsidR="00CD0E68" w:rsidRPr="00CD0E68" w:rsidRDefault="00CD0E68" w:rsidP="00CD0E68">
            <w:pPr>
              <w:spacing w:after="160" w:line="259" w:lineRule="auto"/>
              <w:contextualSpacing/>
              <w:jc w:val="both"/>
              <w:rPr>
                <w:i/>
                <w:sz w:val="22"/>
                <w:szCs w:val="22"/>
              </w:rPr>
            </w:pPr>
          </w:p>
          <w:p w:rsidR="00CD0E68" w:rsidRPr="00CD0E68" w:rsidRDefault="00CD0E68" w:rsidP="00CD0E68">
            <w:pPr>
              <w:spacing w:after="160" w:line="259" w:lineRule="auto"/>
              <w:contextualSpacing/>
              <w:jc w:val="both"/>
              <w:rPr>
                <w:sz w:val="22"/>
                <w:szCs w:val="22"/>
              </w:rPr>
            </w:pPr>
          </w:p>
        </w:tc>
        <w:tc>
          <w:tcPr>
            <w:tcW w:w="930" w:type="pct"/>
            <w:tcBorders>
              <w:top w:val="single" w:sz="4" w:space="0" w:color="auto"/>
              <w:left w:val="single" w:sz="4" w:space="0" w:color="auto"/>
              <w:bottom w:val="single" w:sz="4" w:space="0" w:color="auto"/>
              <w:right w:val="single" w:sz="4" w:space="0" w:color="auto"/>
            </w:tcBorders>
          </w:tcPr>
          <w:p w:rsidR="00CD0E68" w:rsidRDefault="00CD0E68" w:rsidP="00CD0E68">
            <w:r w:rsidRPr="00F4682C">
              <w:rPr>
                <w:sz w:val="20"/>
              </w:rPr>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Default="00CD0E68" w:rsidP="00CD0E68">
            <w:pPr>
              <w:rPr>
                <w:b/>
                <w:bCs/>
              </w:rPr>
            </w:pPr>
            <w:r>
              <w:rPr>
                <w:b/>
                <w:bCs/>
              </w:rPr>
              <w:t>7</w:t>
            </w:r>
          </w:p>
        </w:tc>
        <w:tc>
          <w:tcPr>
            <w:tcW w:w="1454"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pStyle w:val="Bezodstpw"/>
              <w:rPr>
                <w:sz w:val="22"/>
                <w:szCs w:val="22"/>
                <w:lang w:val="pl-PL"/>
              </w:rPr>
            </w:pPr>
            <w:r w:rsidRPr="00CD0E68">
              <w:rPr>
                <w:sz w:val="22"/>
                <w:szCs w:val="22"/>
                <w:lang w:val="pl-PL"/>
              </w:rPr>
              <w:t>Doprecyzowanie Reguły 3</w:t>
            </w:r>
          </w:p>
        </w:tc>
        <w:tc>
          <w:tcPr>
            <w:tcW w:w="978"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rPr>
                <w:sz w:val="22"/>
                <w:szCs w:val="22"/>
              </w:rPr>
            </w:pPr>
            <w:r w:rsidRPr="00CD0E68">
              <w:rPr>
                <w:sz w:val="22"/>
                <w:szCs w:val="22"/>
              </w:rPr>
              <w:t>1.2.5 Reguła 3</w:t>
            </w:r>
          </w:p>
        </w:tc>
        <w:tc>
          <w:tcPr>
            <w:tcW w:w="1351"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spacing w:after="160" w:line="259" w:lineRule="auto"/>
              <w:contextualSpacing/>
              <w:jc w:val="both"/>
              <w:rPr>
                <w:sz w:val="22"/>
                <w:szCs w:val="22"/>
              </w:rPr>
            </w:pPr>
            <w:r w:rsidRPr="00CD0E68">
              <w:rPr>
                <w:sz w:val="22"/>
                <w:szCs w:val="22"/>
              </w:rPr>
              <w:t>Wskazano, iż „</w:t>
            </w:r>
            <w:r w:rsidRPr="00CD0E68">
              <w:rPr>
                <w:color w:val="000000"/>
                <w:sz w:val="22"/>
                <w:szCs w:val="22"/>
              </w:rPr>
              <w:t xml:space="preserve">w przypadku kiedy błąd systemowy/administracyjny zostanie stwierdzony w wyniku kontroli i audytów wewnętrznych i zewnętrznych </w:t>
            </w:r>
            <w:r w:rsidRPr="00CD0E68">
              <w:rPr>
                <w:color w:val="000000"/>
                <w:sz w:val="22"/>
                <w:szCs w:val="22"/>
                <w:u w:val="single"/>
              </w:rPr>
              <w:t xml:space="preserve">pracownik weryfikujący, który otrzymał sprawę dokonuje wpisu do Rejestru Błędów </w:t>
            </w:r>
            <w:r w:rsidRPr="00CD0E68">
              <w:rPr>
                <w:sz w:val="22"/>
                <w:szCs w:val="22"/>
                <w:u w:val="single"/>
              </w:rPr>
              <w:t>administracyjnych/systemowych”</w:t>
            </w:r>
          </w:p>
        </w:tc>
        <w:tc>
          <w:tcPr>
            <w:tcW w:w="930" w:type="pct"/>
            <w:tcBorders>
              <w:top w:val="single" w:sz="4" w:space="0" w:color="auto"/>
              <w:left w:val="single" w:sz="4" w:space="0" w:color="auto"/>
              <w:bottom w:val="single" w:sz="4" w:space="0" w:color="auto"/>
              <w:right w:val="single" w:sz="4" w:space="0" w:color="auto"/>
            </w:tcBorders>
          </w:tcPr>
          <w:p w:rsidR="00CD0E68" w:rsidRDefault="00CD0E68" w:rsidP="00CD0E68">
            <w:r w:rsidRPr="00F4682C">
              <w:rPr>
                <w:sz w:val="20"/>
              </w:rPr>
              <w:t>Zmiana nie ma wpływu na inne KP</w:t>
            </w:r>
          </w:p>
        </w:tc>
      </w:tr>
      <w:tr w:rsidR="00CD0E68" w:rsidRPr="00CC5823" w:rsidTr="00B91F2C">
        <w:tc>
          <w:tcPr>
            <w:tcW w:w="287" w:type="pct"/>
            <w:tcBorders>
              <w:top w:val="single" w:sz="4" w:space="0" w:color="auto"/>
              <w:left w:val="single" w:sz="4" w:space="0" w:color="auto"/>
              <w:bottom w:val="single" w:sz="4" w:space="0" w:color="auto"/>
              <w:right w:val="single" w:sz="4" w:space="0" w:color="auto"/>
            </w:tcBorders>
          </w:tcPr>
          <w:p w:rsidR="00CD0E68" w:rsidRPr="00D43BF4" w:rsidRDefault="00CD0E68" w:rsidP="007B3D08">
            <w:pPr>
              <w:rPr>
                <w:bCs/>
              </w:rPr>
            </w:pPr>
            <w:r w:rsidRPr="00D43BF4">
              <w:rPr>
                <w:bCs/>
              </w:rPr>
              <w:t>8</w:t>
            </w:r>
          </w:p>
        </w:tc>
        <w:tc>
          <w:tcPr>
            <w:tcW w:w="1454" w:type="pct"/>
            <w:tcBorders>
              <w:top w:val="single" w:sz="4" w:space="0" w:color="auto"/>
              <w:left w:val="single" w:sz="4" w:space="0" w:color="auto"/>
              <w:bottom w:val="single" w:sz="4" w:space="0" w:color="auto"/>
              <w:right w:val="single" w:sz="4" w:space="0" w:color="auto"/>
            </w:tcBorders>
          </w:tcPr>
          <w:p w:rsidR="00CD0E68" w:rsidRPr="00CD0E68" w:rsidRDefault="00CD0E68" w:rsidP="00CD0E68">
            <w:pPr>
              <w:pStyle w:val="Bezodstpw"/>
              <w:rPr>
                <w:sz w:val="22"/>
                <w:szCs w:val="22"/>
                <w:lang w:val="pl-PL"/>
              </w:rPr>
            </w:pPr>
            <w:r w:rsidRPr="00CD0E68">
              <w:rPr>
                <w:sz w:val="22"/>
                <w:szCs w:val="22"/>
                <w:lang w:val="pl-PL"/>
              </w:rPr>
              <w:t xml:space="preserve">Zmiany redakcyjne, zmiany publikatorów oraz w zazewnictwie , zmiany techniczne, w diagramach oraz stylistyczne. </w:t>
            </w:r>
          </w:p>
        </w:tc>
        <w:tc>
          <w:tcPr>
            <w:tcW w:w="978" w:type="pct"/>
            <w:tcBorders>
              <w:top w:val="single" w:sz="4" w:space="0" w:color="auto"/>
              <w:left w:val="single" w:sz="4" w:space="0" w:color="auto"/>
              <w:bottom w:val="single" w:sz="4" w:space="0" w:color="auto"/>
              <w:right w:val="single" w:sz="4" w:space="0" w:color="auto"/>
            </w:tcBorders>
          </w:tcPr>
          <w:p w:rsidR="00CD0E68" w:rsidRPr="00CD0E68" w:rsidRDefault="00CD0E68" w:rsidP="007B3D08">
            <w:pPr>
              <w:rPr>
                <w:sz w:val="22"/>
                <w:szCs w:val="22"/>
              </w:rPr>
            </w:pPr>
            <w:r w:rsidRPr="00CD0E68">
              <w:rPr>
                <w:sz w:val="22"/>
                <w:szCs w:val="22"/>
              </w:rPr>
              <w:t>Cała KP</w:t>
            </w:r>
          </w:p>
        </w:tc>
        <w:tc>
          <w:tcPr>
            <w:tcW w:w="1351" w:type="pct"/>
            <w:tcBorders>
              <w:top w:val="single" w:sz="4" w:space="0" w:color="auto"/>
              <w:left w:val="single" w:sz="4" w:space="0" w:color="auto"/>
              <w:bottom w:val="single" w:sz="4" w:space="0" w:color="auto"/>
              <w:right w:val="single" w:sz="4" w:space="0" w:color="auto"/>
            </w:tcBorders>
          </w:tcPr>
          <w:p w:rsidR="00CD0E68" w:rsidRPr="00CD0E68" w:rsidRDefault="00CD0E68" w:rsidP="00D0479E">
            <w:pPr>
              <w:spacing w:after="160" w:line="259" w:lineRule="auto"/>
              <w:contextualSpacing/>
              <w:jc w:val="both"/>
              <w:rPr>
                <w:sz w:val="22"/>
                <w:szCs w:val="22"/>
              </w:rPr>
            </w:pPr>
            <w:r w:rsidRPr="00CD0E68">
              <w:rPr>
                <w:sz w:val="22"/>
                <w:szCs w:val="22"/>
              </w:rPr>
              <w:t>Zminiono zgodnie z uwagami</w:t>
            </w:r>
          </w:p>
        </w:tc>
        <w:tc>
          <w:tcPr>
            <w:tcW w:w="930" w:type="pct"/>
            <w:tcBorders>
              <w:top w:val="single" w:sz="4" w:space="0" w:color="auto"/>
              <w:left w:val="single" w:sz="4" w:space="0" w:color="auto"/>
              <w:bottom w:val="single" w:sz="4" w:space="0" w:color="auto"/>
              <w:right w:val="single" w:sz="4" w:space="0" w:color="auto"/>
            </w:tcBorders>
          </w:tcPr>
          <w:p w:rsidR="00CD0E68" w:rsidRPr="00CC5823" w:rsidRDefault="00CD0E68" w:rsidP="007B3D08">
            <w:pPr>
              <w:rPr>
                <w:sz w:val="20"/>
              </w:rPr>
            </w:pPr>
            <w:r w:rsidRPr="00CC5823">
              <w:rPr>
                <w:sz w:val="20"/>
              </w:rPr>
              <w:t>Zmiana nie ma wpływu na inne KP</w:t>
            </w:r>
          </w:p>
        </w:tc>
      </w:tr>
    </w:tbl>
    <w:p w:rsidR="00B91F2C" w:rsidRDefault="00B91F2C"/>
    <w:p w:rsidR="00B91F2C" w:rsidRDefault="00B91F2C"/>
    <w:p w:rsidR="00B91F2C" w:rsidRDefault="00B91F2C"/>
    <w:p w:rsidR="00B91F2C" w:rsidRDefault="00B91F2C"/>
    <w:p w:rsidR="00B91F2C" w:rsidRDefault="00B91F2C" w:rsidP="00B91F2C">
      <w:pPr>
        <w:jc w:val="both"/>
        <w:rPr>
          <w:b/>
          <w:bCs/>
          <w:sz w:val="28"/>
        </w:rPr>
      </w:pPr>
    </w:p>
    <w:p w:rsidR="00AD358B" w:rsidRDefault="00AD358B" w:rsidP="00B91F2C">
      <w:pPr>
        <w:jc w:val="both"/>
        <w:rPr>
          <w:b/>
          <w:bCs/>
          <w:sz w:val="28"/>
        </w:rPr>
      </w:pPr>
    </w:p>
    <w:p w:rsidR="00AD358B" w:rsidRPr="00E15EC1" w:rsidRDefault="00AD358B" w:rsidP="00B91F2C">
      <w:pPr>
        <w:jc w:val="both"/>
        <w:rPr>
          <w:b/>
          <w:bCs/>
          <w:sz w:val="28"/>
        </w:rPr>
      </w:pPr>
    </w:p>
    <w:p w:rsidR="00B91F2C" w:rsidRPr="00E15EC1" w:rsidRDefault="00B91F2C" w:rsidP="00B91F2C">
      <w:pPr>
        <w:jc w:val="both"/>
      </w:pPr>
      <w:r w:rsidRPr="00E15EC1">
        <w:t xml:space="preserve">Sporządził: </w:t>
      </w:r>
      <w:r w:rsidR="001F540E">
        <w:t>Dariusz Ozga 18.05.2018 r.</w:t>
      </w:r>
    </w:p>
    <w:p w:rsidR="00B91F2C" w:rsidRDefault="00B91F2C" w:rsidP="00B91F2C">
      <w:pPr>
        <w:jc w:val="both"/>
        <w:rPr>
          <w:sz w:val="16"/>
        </w:rPr>
      </w:pPr>
      <w:r>
        <w:rPr>
          <w:sz w:val="16"/>
        </w:rPr>
        <w:tab/>
      </w:r>
      <w:r>
        <w:rPr>
          <w:sz w:val="16"/>
        </w:rPr>
        <w:tab/>
      </w:r>
      <w:r>
        <w:rPr>
          <w:sz w:val="16"/>
        </w:rPr>
        <w:tab/>
      </w:r>
      <w:r>
        <w:rPr>
          <w:sz w:val="16"/>
        </w:rPr>
        <w:tab/>
      </w:r>
      <w:r>
        <w:rPr>
          <w:sz w:val="16"/>
        </w:rPr>
        <w:tab/>
      </w:r>
      <w:r>
        <w:rPr>
          <w:sz w:val="16"/>
        </w:rPr>
        <w:tab/>
      </w:r>
    </w:p>
    <w:p w:rsidR="00AD358B" w:rsidRDefault="00AD358B" w:rsidP="00B91F2C">
      <w:pPr>
        <w:jc w:val="both"/>
        <w:rPr>
          <w:sz w:val="16"/>
        </w:rPr>
      </w:pPr>
    </w:p>
    <w:p w:rsidR="00AD358B" w:rsidRDefault="00AD358B" w:rsidP="00B91F2C">
      <w:pPr>
        <w:jc w:val="both"/>
        <w:rPr>
          <w:sz w:val="16"/>
        </w:rPr>
      </w:pPr>
    </w:p>
    <w:p w:rsidR="00AD358B" w:rsidRDefault="00AD358B" w:rsidP="00B91F2C">
      <w:pPr>
        <w:jc w:val="both"/>
        <w:rPr>
          <w:sz w:val="16"/>
        </w:rPr>
      </w:pPr>
    </w:p>
    <w:p w:rsidR="00AD358B" w:rsidRPr="008C0456" w:rsidRDefault="00AD358B" w:rsidP="00B91F2C">
      <w:pPr>
        <w:jc w:val="both"/>
        <w:rPr>
          <w:sz w:val="16"/>
        </w:rPr>
      </w:pPr>
    </w:p>
    <w:p w:rsidR="00B91F2C" w:rsidRDefault="00B91F2C" w:rsidP="00B91F2C">
      <w:pPr>
        <w:jc w:val="both"/>
      </w:pPr>
      <w:r w:rsidRPr="00E15EC1">
        <w:t xml:space="preserve">Sprawdził: </w:t>
      </w:r>
      <w:r w:rsidR="001F540E">
        <w:t>Bogusław Uściński 18.05.2018 r.</w:t>
      </w:r>
    </w:p>
    <w:p w:rsidR="00B91F2C" w:rsidRDefault="00B91F2C" w:rsidP="00B91F2C">
      <w:pPr>
        <w:jc w:val="both"/>
        <w:rPr>
          <w:sz w:val="16"/>
        </w:rPr>
      </w:pPr>
      <w:r>
        <w:rPr>
          <w:sz w:val="16"/>
        </w:rPr>
        <w:tab/>
      </w:r>
      <w:r>
        <w:rPr>
          <w:sz w:val="16"/>
        </w:rPr>
        <w:tab/>
      </w:r>
      <w:r>
        <w:rPr>
          <w:sz w:val="16"/>
        </w:rPr>
        <w:tab/>
      </w:r>
      <w:r>
        <w:rPr>
          <w:sz w:val="16"/>
        </w:rPr>
        <w:tab/>
      </w:r>
      <w:r>
        <w:rPr>
          <w:sz w:val="16"/>
        </w:rPr>
        <w:tab/>
      </w:r>
      <w:r>
        <w:rPr>
          <w:sz w:val="16"/>
        </w:rPr>
        <w:tab/>
      </w:r>
      <w:r>
        <w:rPr>
          <w:sz w:val="16"/>
        </w:rPr>
        <w:tab/>
      </w:r>
    </w:p>
    <w:p w:rsidR="00AD358B" w:rsidRDefault="00AD358B" w:rsidP="00B91F2C">
      <w:pPr>
        <w:jc w:val="both"/>
        <w:rPr>
          <w:sz w:val="16"/>
        </w:rPr>
      </w:pPr>
    </w:p>
    <w:p w:rsidR="00AD358B" w:rsidRDefault="00AD358B" w:rsidP="00B91F2C">
      <w:pPr>
        <w:jc w:val="both"/>
        <w:rPr>
          <w:sz w:val="16"/>
        </w:rPr>
      </w:pPr>
    </w:p>
    <w:p w:rsidR="00AD358B" w:rsidRDefault="00AD358B" w:rsidP="00B91F2C">
      <w:pPr>
        <w:jc w:val="both"/>
        <w:rPr>
          <w:sz w:val="16"/>
        </w:rPr>
      </w:pPr>
    </w:p>
    <w:p w:rsidR="00AD358B" w:rsidRPr="008C0456" w:rsidRDefault="00AD358B" w:rsidP="00B91F2C">
      <w:pPr>
        <w:jc w:val="both"/>
        <w:rPr>
          <w:sz w:val="16"/>
        </w:rPr>
      </w:pPr>
    </w:p>
    <w:p w:rsidR="00B91F2C" w:rsidRPr="00E15EC1" w:rsidRDefault="00B91F2C" w:rsidP="00B91F2C">
      <w:pPr>
        <w:jc w:val="both"/>
      </w:pPr>
      <w:r w:rsidRPr="00E15EC1">
        <w:t xml:space="preserve">Zatwierdził: </w:t>
      </w:r>
      <w:r w:rsidR="001F540E">
        <w:t>Tomasz Szeweluk 18.05.2018 r.</w:t>
      </w:r>
    </w:p>
    <w:p w:rsidR="00B91F2C" w:rsidRDefault="00B91F2C" w:rsidP="00B91F2C">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r>
      <w:r>
        <w:rPr>
          <w:sz w:val="16"/>
        </w:rPr>
        <w:tab/>
      </w:r>
    </w:p>
    <w:p w:rsidR="00B91F2C" w:rsidRDefault="00B91F2C"/>
    <w:sectPr w:rsidR="00B91F2C" w:rsidSect="00B91F2C">
      <w:pgSz w:w="16838" w:h="11906" w:orient="landscape"/>
      <w:pgMar w:top="850" w:right="1134" w:bottom="1417" w:left="1134" w:header="454" w:footer="45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B6F" w:rsidRDefault="00144B6F">
      <w:r>
        <w:separator/>
      </w:r>
    </w:p>
  </w:endnote>
  <w:endnote w:type="continuationSeparator" w:id="0">
    <w:p w:rsidR="00144B6F" w:rsidRDefault="0014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6135F">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rsidR="00C6135F" w:rsidRDefault="00C6135F" w:rsidP="00CD0E68">
          <w:pPr>
            <w:spacing w:before="45" w:after="45"/>
            <w:jc w:val="center"/>
            <w:rPr>
              <w:b/>
              <w:color w:val="000000"/>
              <w:sz w:val="18"/>
              <w:shd w:val="clear" w:color="auto" w:fill="FFFFFF"/>
            </w:rPr>
          </w:pPr>
          <w:r>
            <w:rPr>
              <w:b/>
              <w:color w:val="000000"/>
              <w:sz w:val="18"/>
              <w:shd w:val="clear" w:color="auto" w:fill="FFFFFF"/>
            </w:rPr>
            <w:t>K</w:t>
          </w:r>
          <w:r w:rsidR="00CD0E68">
            <w:rPr>
              <w:b/>
              <w:color w:val="000000"/>
              <w:sz w:val="18"/>
              <w:shd w:val="clear" w:color="auto" w:fill="FFFFFF"/>
            </w:rPr>
            <w:t>P-611-446-ARiMR/2z</w:t>
          </w:r>
        </w:p>
      </w:tc>
    </w:tr>
  </w:tbl>
  <w:p w:rsidR="00C6135F" w:rsidRDefault="00C6135F">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1F540E">
      <w:rPr>
        <w:b/>
        <w:noProof/>
        <w:color w:val="000000"/>
        <w:sz w:val="18"/>
      </w:rPr>
      <w:t>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1F540E">
      <w:rPr>
        <w:b/>
        <w:noProof/>
        <w:color w:val="000000"/>
        <w:sz w:val="18"/>
      </w:rPr>
      <w:t>30</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6135F">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rsidR="00C6135F" w:rsidRDefault="00C6135F" w:rsidP="00CD0E68">
          <w:pPr>
            <w:spacing w:before="45" w:after="45"/>
            <w:jc w:val="center"/>
            <w:rPr>
              <w:b/>
              <w:color w:val="000000"/>
              <w:sz w:val="18"/>
              <w:shd w:val="clear" w:color="auto" w:fill="FFFFFF"/>
            </w:rPr>
          </w:pPr>
          <w:r>
            <w:rPr>
              <w:b/>
              <w:color w:val="000000"/>
              <w:sz w:val="18"/>
              <w:shd w:val="clear" w:color="auto" w:fill="FFFFFF"/>
            </w:rPr>
            <w:t>K</w:t>
          </w:r>
          <w:r w:rsidR="00CD0E68">
            <w:rPr>
              <w:b/>
              <w:color w:val="000000"/>
              <w:sz w:val="18"/>
              <w:shd w:val="clear" w:color="auto" w:fill="FFFFFF"/>
            </w:rPr>
            <w:t>P-611-446-ARiMR/2z</w:t>
          </w:r>
        </w:p>
      </w:tc>
    </w:tr>
  </w:tbl>
  <w:p w:rsidR="00C6135F" w:rsidRDefault="00C6135F">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D43BF4">
      <w:rPr>
        <w:b/>
        <w:noProof/>
        <w:color w:val="000000"/>
        <w:sz w:val="18"/>
      </w:rPr>
      <w:t>29</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D43BF4">
      <w:rPr>
        <w:b/>
        <w:noProof/>
        <w:color w:val="000000"/>
        <w:sz w:val="18"/>
      </w:rPr>
      <w:t>30</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B6F" w:rsidRDefault="00144B6F">
      <w:r>
        <w:separator/>
      </w:r>
    </w:p>
  </w:footnote>
  <w:footnote w:type="continuationSeparator" w:id="0">
    <w:p w:rsidR="00144B6F" w:rsidRDefault="00144B6F">
      <w:r>
        <w:continuationSeparator/>
      </w:r>
    </w:p>
  </w:footnote>
  <w:footnote w:id="1">
    <w:p w:rsidR="00C6135F" w:rsidRDefault="00C6135F" w:rsidP="008C6DA0">
      <w:pPr>
        <w:pStyle w:val="Footnote0"/>
        <w:shd w:val="clear" w:color="auto" w:fill="auto"/>
        <w:tabs>
          <w:tab w:val="left" w:pos="1351"/>
        </w:tabs>
        <w:spacing w:line="216" w:lineRule="exact"/>
        <w:ind w:left="1140"/>
        <w:jc w:val="both"/>
      </w:pPr>
      <w:r>
        <w:tab/>
      </w:r>
    </w:p>
  </w:footnote>
  <w:footnote w:id="2">
    <w:p w:rsidR="00C6135F" w:rsidRDefault="00C6135F" w:rsidP="00B91F2C">
      <w:pPr>
        <w:pStyle w:val="Tekstprzypisudolnego"/>
      </w:pPr>
    </w:p>
  </w:footnote>
  <w:footnote w:id="3">
    <w:p w:rsidR="00C6135F" w:rsidRDefault="00C6135F" w:rsidP="00B91F2C">
      <w:pPr>
        <w:pStyle w:val="Tekstprzypisudolnego"/>
      </w:pPr>
    </w:p>
  </w:footnote>
  <w:footnote w:id="4">
    <w:p w:rsidR="00C6135F" w:rsidRDefault="00C6135F" w:rsidP="00B91F2C">
      <w:pPr>
        <w:pStyle w:val="Tekstprzypisudolnego"/>
      </w:pPr>
    </w:p>
  </w:footnote>
  <w:footnote w:id="5">
    <w:p w:rsidR="00C6135F" w:rsidRDefault="00C6135F" w:rsidP="00B91F2C">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92"/>
        </w:tabs>
        <w:ind w:left="792" w:hanging="432"/>
      </w:pPr>
    </w:lvl>
    <w:lvl w:ilvl="2">
      <w:start w:val="1"/>
      <w:numFmt w:val="decimal"/>
      <w:pStyle w:val="Nagwek3"/>
      <w:suff w:val="space"/>
      <w:lvlText w:val="%1.%2.%3."/>
      <w:lvlJc w:val="left"/>
      <w:pPr>
        <w:tabs>
          <w:tab w:val="num" w:pos="1288"/>
        </w:tabs>
        <w:ind w:left="1072"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7DF29E9"/>
    <w:multiLevelType w:val="multilevel"/>
    <w:tmpl w:val="253E059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511DA3"/>
    <w:multiLevelType w:val="multilevel"/>
    <w:tmpl w:val="0A4EA3A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start w:val="3"/>
      <w:numFmt w:val="decimal"/>
      <w:lvlText w:val="%2."/>
      <w:lvlJc w:val="left"/>
      <w:rPr>
        <w:rFonts w:ascii="Calibri" w:eastAsia="Calibri" w:hAnsi="Calibri" w:cs="Calibri"/>
        <w:b w:val="0"/>
        <w:bCs w:val="0"/>
        <w:i w:val="0"/>
        <w:iCs/>
        <w:smallCaps w:val="0"/>
        <w:strike w:val="0"/>
        <w:color w:val="000000"/>
        <w:spacing w:val="0"/>
        <w:w w:val="100"/>
        <w:position w:val="0"/>
        <w:sz w:val="21"/>
        <w:szCs w:val="21"/>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54345D"/>
    <w:multiLevelType w:val="hybridMultilevel"/>
    <w:tmpl w:val="27381BB6"/>
    <w:lvl w:ilvl="0" w:tplc="04150001">
      <w:start w:val="1"/>
      <w:numFmt w:val="bullet"/>
      <w:lvlText w:val=""/>
      <w:lvlJc w:val="left"/>
      <w:pPr>
        <w:ind w:left="720" w:hanging="360"/>
      </w:pPr>
      <w:rPr>
        <w:rFonts w:ascii="Symbol" w:hAnsi="Symbo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CF00A2"/>
    <w:multiLevelType w:val="hybridMultilevel"/>
    <w:tmpl w:val="D8805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DA2104"/>
    <w:multiLevelType w:val="hybridMultilevel"/>
    <w:tmpl w:val="BC382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8E40D7"/>
    <w:multiLevelType w:val="multilevel"/>
    <w:tmpl w:val="794AB0A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A0A3D"/>
    <w:multiLevelType w:val="hybridMultilevel"/>
    <w:tmpl w:val="DD326C28"/>
    <w:lvl w:ilvl="0" w:tplc="04150001">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9" w15:restartNumberingAfterBreak="0">
    <w:nsid w:val="37614595"/>
    <w:multiLevelType w:val="hybridMultilevel"/>
    <w:tmpl w:val="7038A3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B531D2"/>
    <w:multiLevelType w:val="hybridMultilevel"/>
    <w:tmpl w:val="EA52D9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26647F"/>
    <w:multiLevelType w:val="hybridMultilevel"/>
    <w:tmpl w:val="001C7DF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F66F33"/>
    <w:multiLevelType w:val="hybridMultilevel"/>
    <w:tmpl w:val="DB9C97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E0312F5"/>
    <w:multiLevelType w:val="hybridMultilevel"/>
    <w:tmpl w:val="CFE408D8"/>
    <w:lvl w:ilvl="0" w:tplc="04150001">
      <w:start w:val="1"/>
      <w:numFmt w:val="bullet"/>
      <w:lvlText w:val=""/>
      <w:lvlJc w:val="left"/>
      <w:pPr>
        <w:tabs>
          <w:tab w:val="num" w:pos="720"/>
        </w:tabs>
        <w:ind w:left="720" w:hanging="360"/>
      </w:pPr>
      <w:rPr>
        <w:rFonts w:ascii="Symbol" w:hAnsi="Symbol" w:hint="default"/>
      </w:rPr>
    </w:lvl>
    <w:lvl w:ilvl="1" w:tplc="55C4B16A">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F50C10"/>
    <w:multiLevelType w:val="hybridMultilevel"/>
    <w:tmpl w:val="DFD6C610"/>
    <w:lvl w:ilvl="0" w:tplc="47B2FA5E">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3A6786"/>
    <w:multiLevelType w:val="hybridMultilevel"/>
    <w:tmpl w:val="B944E638"/>
    <w:lvl w:ilvl="0" w:tplc="F2F43B8E">
      <w:start w:val="1"/>
      <w:numFmt w:val="bullet"/>
      <w:lvlText w:val=""/>
      <w:lvlJc w:val="left"/>
      <w:pPr>
        <w:ind w:left="708" w:hanging="360"/>
      </w:pPr>
      <w:rPr>
        <w:rFonts w:ascii="Symbol" w:hAnsi="Symbol" w:hint="default"/>
      </w:rPr>
    </w:lvl>
    <w:lvl w:ilvl="1" w:tplc="04150005" w:tentative="1">
      <w:start w:val="1"/>
      <w:numFmt w:val="bullet"/>
      <w:lvlText w:val="o"/>
      <w:lvlJc w:val="left"/>
      <w:pPr>
        <w:ind w:left="1428" w:hanging="360"/>
      </w:pPr>
      <w:rPr>
        <w:rFonts w:ascii="Courier New" w:hAnsi="Courier New" w:cs="Courier New" w:hint="default"/>
      </w:rPr>
    </w:lvl>
    <w:lvl w:ilvl="2" w:tplc="0415001B" w:tentative="1">
      <w:start w:val="1"/>
      <w:numFmt w:val="bullet"/>
      <w:lvlText w:val=""/>
      <w:lvlJc w:val="left"/>
      <w:pPr>
        <w:ind w:left="2148" w:hanging="360"/>
      </w:pPr>
      <w:rPr>
        <w:rFonts w:ascii="Wingdings" w:hAnsi="Wingdings" w:hint="default"/>
      </w:rPr>
    </w:lvl>
    <w:lvl w:ilvl="3" w:tplc="0415000F" w:tentative="1">
      <w:start w:val="1"/>
      <w:numFmt w:val="bullet"/>
      <w:lvlText w:val=""/>
      <w:lvlJc w:val="left"/>
      <w:pPr>
        <w:ind w:left="2868" w:hanging="360"/>
      </w:pPr>
      <w:rPr>
        <w:rFonts w:ascii="Symbol" w:hAnsi="Symbol" w:hint="default"/>
      </w:rPr>
    </w:lvl>
    <w:lvl w:ilvl="4" w:tplc="04150019" w:tentative="1">
      <w:start w:val="1"/>
      <w:numFmt w:val="bullet"/>
      <w:lvlText w:val="o"/>
      <w:lvlJc w:val="left"/>
      <w:pPr>
        <w:ind w:left="3588" w:hanging="360"/>
      </w:pPr>
      <w:rPr>
        <w:rFonts w:ascii="Courier New" w:hAnsi="Courier New" w:cs="Courier New" w:hint="default"/>
      </w:rPr>
    </w:lvl>
    <w:lvl w:ilvl="5" w:tplc="0415001B" w:tentative="1">
      <w:start w:val="1"/>
      <w:numFmt w:val="bullet"/>
      <w:lvlText w:val=""/>
      <w:lvlJc w:val="left"/>
      <w:pPr>
        <w:ind w:left="4308" w:hanging="360"/>
      </w:pPr>
      <w:rPr>
        <w:rFonts w:ascii="Wingdings" w:hAnsi="Wingdings" w:hint="default"/>
      </w:rPr>
    </w:lvl>
    <w:lvl w:ilvl="6" w:tplc="0415000F" w:tentative="1">
      <w:start w:val="1"/>
      <w:numFmt w:val="bullet"/>
      <w:lvlText w:val=""/>
      <w:lvlJc w:val="left"/>
      <w:pPr>
        <w:ind w:left="5028" w:hanging="360"/>
      </w:pPr>
      <w:rPr>
        <w:rFonts w:ascii="Symbol" w:hAnsi="Symbol" w:hint="default"/>
      </w:rPr>
    </w:lvl>
    <w:lvl w:ilvl="7" w:tplc="04150019" w:tentative="1">
      <w:start w:val="1"/>
      <w:numFmt w:val="bullet"/>
      <w:lvlText w:val="o"/>
      <w:lvlJc w:val="left"/>
      <w:pPr>
        <w:ind w:left="5748" w:hanging="360"/>
      </w:pPr>
      <w:rPr>
        <w:rFonts w:ascii="Courier New" w:hAnsi="Courier New" w:cs="Courier New" w:hint="default"/>
      </w:rPr>
    </w:lvl>
    <w:lvl w:ilvl="8" w:tplc="0415001B" w:tentative="1">
      <w:start w:val="1"/>
      <w:numFmt w:val="bullet"/>
      <w:lvlText w:val=""/>
      <w:lvlJc w:val="left"/>
      <w:pPr>
        <w:ind w:left="6468" w:hanging="360"/>
      </w:pPr>
      <w:rPr>
        <w:rFonts w:ascii="Wingdings" w:hAnsi="Wingdings" w:hint="default"/>
      </w:rPr>
    </w:lvl>
  </w:abstractNum>
  <w:abstractNum w:abstractNumId="16" w15:restartNumberingAfterBreak="0">
    <w:nsid w:val="7D091BB3"/>
    <w:multiLevelType w:val="hybridMultilevel"/>
    <w:tmpl w:val="8CDECB94"/>
    <w:lvl w:ilvl="0" w:tplc="04150001">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num w:numId="1">
    <w:abstractNumId w:val="0"/>
  </w:num>
  <w:num w:numId="2">
    <w:abstractNumId w:val="1"/>
  </w:num>
  <w:num w:numId="3">
    <w:abstractNumId w:val="14"/>
  </w:num>
  <w:num w:numId="4">
    <w:abstractNumId w:val="15"/>
  </w:num>
  <w:num w:numId="5">
    <w:abstractNumId w:val="11"/>
  </w:num>
  <w:num w:numId="6">
    <w:abstractNumId w:val="5"/>
  </w:num>
  <w:num w:numId="7">
    <w:abstractNumId w:val="9"/>
  </w:num>
  <w:num w:numId="8">
    <w:abstractNumId w:val="7"/>
  </w:num>
  <w:num w:numId="9">
    <w:abstractNumId w:val="8"/>
  </w:num>
  <w:num w:numId="10">
    <w:abstractNumId w:val="16"/>
  </w:num>
  <w:num w:numId="11">
    <w:abstractNumId w:val="10"/>
  </w:num>
  <w:num w:numId="12">
    <w:abstractNumId w:val="12"/>
  </w:num>
  <w:num w:numId="13">
    <w:abstractNumId w:val="2"/>
  </w:num>
  <w:num w:numId="14">
    <w:abstractNumId w:val="3"/>
  </w:num>
  <w:num w:numId="15">
    <w:abstractNumId w:val="6"/>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BB8"/>
    <w:rsid w:val="00047641"/>
    <w:rsid w:val="00120C8F"/>
    <w:rsid w:val="00144B6F"/>
    <w:rsid w:val="001F540E"/>
    <w:rsid w:val="002E4AD6"/>
    <w:rsid w:val="00391BB8"/>
    <w:rsid w:val="004D7580"/>
    <w:rsid w:val="00574483"/>
    <w:rsid w:val="00597641"/>
    <w:rsid w:val="005C453C"/>
    <w:rsid w:val="00670159"/>
    <w:rsid w:val="00716D82"/>
    <w:rsid w:val="00751245"/>
    <w:rsid w:val="00787E55"/>
    <w:rsid w:val="007B3D08"/>
    <w:rsid w:val="008323C7"/>
    <w:rsid w:val="0085124B"/>
    <w:rsid w:val="008C6DA0"/>
    <w:rsid w:val="00A40EBB"/>
    <w:rsid w:val="00A54E9E"/>
    <w:rsid w:val="00A85426"/>
    <w:rsid w:val="00AC1F3E"/>
    <w:rsid w:val="00AD358B"/>
    <w:rsid w:val="00AF5345"/>
    <w:rsid w:val="00B0200E"/>
    <w:rsid w:val="00B749F3"/>
    <w:rsid w:val="00B91F2C"/>
    <w:rsid w:val="00BB2C62"/>
    <w:rsid w:val="00BB3065"/>
    <w:rsid w:val="00C056EC"/>
    <w:rsid w:val="00C6135F"/>
    <w:rsid w:val="00CD0E68"/>
    <w:rsid w:val="00CF76CE"/>
    <w:rsid w:val="00D0479E"/>
    <w:rsid w:val="00D43BF4"/>
    <w:rsid w:val="00E11DA8"/>
    <w:rsid w:val="00F67C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70F53E-6251-4C18-AED3-D5FF36915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27" w:after="113"/>
      <w:ind w:left="0" w:firstLine="0"/>
      <w:outlineLvl w:val="0"/>
    </w:pPr>
    <w:rPr>
      <w:bCs/>
      <w:color w:val="000000"/>
      <w:kern w:val="32"/>
      <w:sz w:val="28"/>
      <w:szCs w:val="32"/>
    </w:rPr>
  </w:style>
  <w:style w:type="paragraph" w:styleId="Nagwek2">
    <w:name w:val="heading 2"/>
    <w:basedOn w:val="Normalny"/>
    <w:next w:val="Normalny"/>
    <w:qFormat/>
    <w:rsid w:val="00EF7B96"/>
    <w:pPr>
      <w:keepNext/>
      <w:numPr>
        <w:ilvl w:val="1"/>
        <w:numId w:val="1"/>
      </w:numPr>
      <w:spacing w:before="227" w:after="113"/>
      <w:ind w:left="397" w:firstLine="0"/>
      <w:outlineLvl w:val="1"/>
    </w:pPr>
    <w:rPr>
      <w:bCs/>
      <w:iCs/>
      <w:color w:val="000000"/>
      <w:sz w:val="28"/>
      <w:szCs w:val="28"/>
    </w:rPr>
  </w:style>
  <w:style w:type="paragraph" w:styleId="Nagwek3">
    <w:name w:val="heading 3"/>
    <w:basedOn w:val="Normalny"/>
    <w:next w:val="Normalny"/>
    <w:qFormat/>
    <w:rsid w:val="00EF7B96"/>
    <w:pPr>
      <w:keepNext/>
      <w:numPr>
        <w:ilvl w:val="2"/>
        <w:numId w:val="1"/>
      </w:numPr>
      <w:spacing w:before="227" w:after="113"/>
      <w:ind w:left="680" w:firstLine="0"/>
      <w:outlineLvl w:val="2"/>
    </w:pPr>
    <w:rPr>
      <w:bCs/>
      <w:color w:val="000000"/>
      <w:sz w:val="26"/>
      <w:szCs w:val="26"/>
    </w:rPr>
  </w:style>
  <w:style w:type="paragraph" w:styleId="Nagwek4">
    <w:name w:val="heading 4"/>
    <w:basedOn w:val="Normalny"/>
    <w:next w:val="Normalny"/>
    <w:qFormat/>
    <w:rsid w:val="00EF7B96"/>
    <w:pPr>
      <w:keepNext/>
      <w:numPr>
        <w:ilvl w:val="3"/>
        <w:numId w:val="1"/>
      </w:numPr>
      <w:spacing w:before="227"/>
      <w:ind w:left="1077" w:firstLine="0"/>
      <w:outlineLvl w:val="3"/>
    </w:pPr>
    <w:rPr>
      <w:bCs/>
      <w:color w:val="000000"/>
      <w:sz w:val="26"/>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805BCE"/>
    <w:pPr>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Akapitzlist">
    <w:name w:val="List Paragraph"/>
    <w:basedOn w:val="Normalny"/>
    <w:uiPriority w:val="34"/>
    <w:qFormat/>
    <w:rsid w:val="008C6DA0"/>
    <w:pPr>
      <w:spacing w:before="240"/>
      <w:ind w:left="720"/>
      <w:contextualSpacing/>
    </w:pPr>
    <w:rPr>
      <w:szCs w:val="20"/>
    </w:rPr>
  </w:style>
  <w:style w:type="character" w:customStyle="1" w:styleId="Footnote">
    <w:name w:val="Footnote_"/>
    <w:basedOn w:val="Domylnaczcionkaakapitu"/>
    <w:link w:val="Footnote0"/>
    <w:rsid w:val="008C6DA0"/>
    <w:rPr>
      <w:rFonts w:ascii="Calibri" w:eastAsia="Calibri" w:hAnsi="Calibri" w:cs="Calibri"/>
      <w:sz w:val="17"/>
      <w:szCs w:val="17"/>
      <w:shd w:val="clear" w:color="auto" w:fill="FFFFFF"/>
    </w:rPr>
  </w:style>
  <w:style w:type="character" w:customStyle="1" w:styleId="Bodytext3NotItalic">
    <w:name w:val="Body text (3) + Not Italic"/>
    <w:basedOn w:val="Domylnaczcionkaakapitu"/>
    <w:rsid w:val="008C6DA0"/>
    <w:rPr>
      <w:rFonts w:ascii="Calibri" w:eastAsia="Calibri" w:hAnsi="Calibri" w:cs="Calibri"/>
      <w:b w:val="0"/>
      <w:bCs w:val="0"/>
      <w:i/>
      <w:iCs/>
      <w:smallCaps w:val="0"/>
      <w:strike w:val="0"/>
      <w:spacing w:val="0"/>
      <w:sz w:val="21"/>
      <w:szCs w:val="21"/>
    </w:rPr>
  </w:style>
  <w:style w:type="character" w:customStyle="1" w:styleId="Bodytext3BoldNotItalic">
    <w:name w:val="Body text (3) + Bold;Not Italic"/>
    <w:basedOn w:val="Domylnaczcionkaakapitu"/>
    <w:rsid w:val="008C6DA0"/>
    <w:rPr>
      <w:rFonts w:ascii="Calibri" w:eastAsia="Calibri" w:hAnsi="Calibri" w:cs="Calibri"/>
      <w:b/>
      <w:bCs/>
      <w:i/>
      <w:iCs/>
      <w:smallCaps w:val="0"/>
      <w:strike w:val="0"/>
      <w:spacing w:val="0"/>
      <w:sz w:val="21"/>
      <w:szCs w:val="21"/>
    </w:rPr>
  </w:style>
  <w:style w:type="paragraph" w:customStyle="1" w:styleId="Footnote0">
    <w:name w:val="Footnote"/>
    <w:basedOn w:val="Normalny"/>
    <w:link w:val="Footnote"/>
    <w:rsid w:val="008C6DA0"/>
    <w:pPr>
      <w:shd w:val="clear" w:color="auto" w:fill="FFFFFF"/>
      <w:spacing w:line="0" w:lineRule="atLeast"/>
    </w:pPr>
    <w:rPr>
      <w:rFonts w:ascii="Calibri" w:eastAsia="Calibri" w:hAnsi="Calibri" w:cs="Calibri"/>
      <w:sz w:val="17"/>
      <w:szCs w:val="17"/>
    </w:rPr>
  </w:style>
  <w:style w:type="character" w:customStyle="1" w:styleId="BodytextBold">
    <w:name w:val="Body text + Bold"/>
    <w:basedOn w:val="Domylnaczcionkaakapitu"/>
    <w:rsid w:val="008C6DA0"/>
    <w:rPr>
      <w:rFonts w:ascii="Calibri" w:eastAsia="Calibri" w:hAnsi="Calibri" w:cs="Calibri"/>
      <w:b/>
      <w:bCs/>
      <w:i w:val="0"/>
      <w:iCs w:val="0"/>
      <w:smallCaps w:val="0"/>
      <w:strike w:val="0"/>
      <w:spacing w:val="0"/>
      <w:sz w:val="21"/>
      <w:szCs w:val="21"/>
    </w:rPr>
  </w:style>
  <w:style w:type="character" w:customStyle="1" w:styleId="Bodytext3">
    <w:name w:val="Body text (3)_"/>
    <w:basedOn w:val="Domylnaczcionkaakapitu"/>
    <w:link w:val="Bodytext30"/>
    <w:rsid w:val="008C6DA0"/>
    <w:rPr>
      <w:rFonts w:ascii="Calibri" w:eastAsia="Calibri" w:hAnsi="Calibri" w:cs="Calibri"/>
      <w:sz w:val="21"/>
      <w:szCs w:val="21"/>
      <w:shd w:val="clear" w:color="auto" w:fill="FFFFFF"/>
    </w:rPr>
  </w:style>
  <w:style w:type="character" w:customStyle="1" w:styleId="BodytextItalic">
    <w:name w:val="Body text + Italic"/>
    <w:basedOn w:val="Domylnaczcionkaakapitu"/>
    <w:rsid w:val="008C6DA0"/>
    <w:rPr>
      <w:rFonts w:ascii="Calibri" w:eastAsia="Calibri" w:hAnsi="Calibri" w:cs="Calibri"/>
      <w:b w:val="0"/>
      <w:bCs w:val="0"/>
      <w:i/>
      <w:iCs/>
      <w:smallCaps w:val="0"/>
      <w:strike w:val="0"/>
      <w:spacing w:val="0"/>
      <w:sz w:val="21"/>
      <w:szCs w:val="21"/>
    </w:rPr>
  </w:style>
  <w:style w:type="paragraph" w:customStyle="1" w:styleId="Bodytext30">
    <w:name w:val="Body text (3)"/>
    <w:basedOn w:val="Normalny"/>
    <w:link w:val="Bodytext3"/>
    <w:rsid w:val="008C6DA0"/>
    <w:pPr>
      <w:shd w:val="clear" w:color="auto" w:fill="FFFFFF"/>
      <w:spacing w:before="360" w:line="288" w:lineRule="exact"/>
      <w:ind w:hanging="420"/>
    </w:pPr>
    <w:rPr>
      <w:rFonts w:ascii="Calibri" w:eastAsia="Calibri" w:hAnsi="Calibri" w:cs="Calibri"/>
      <w:sz w:val="21"/>
      <w:szCs w:val="21"/>
    </w:rPr>
  </w:style>
  <w:style w:type="character" w:customStyle="1" w:styleId="Bodytext">
    <w:name w:val="Body text_"/>
    <w:basedOn w:val="Domylnaczcionkaakapitu"/>
    <w:link w:val="Tekstpodstawowy2"/>
    <w:rsid w:val="008C6DA0"/>
    <w:rPr>
      <w:rFonts w:ascii="Calibri" w:eastAsia="Calibri" w:hAnsi="Calibri" w:cs="Calibri"/>
      <w:sz w:val="21"/>
      <w:szCs w:val="21"/>
      <w:shd w:val="clear" w:color="auto" w:fill="FFFFFF"/>
    </w:rPr>
  </w:style>
  <w:style w:type="paragraph" w:customStyle="1" w:styleId="Tekstpodstawowy2">
    <w:name w:val="Tekst podstawowy2"/>
    <w:basedOn w:val="Normalny"/>
    <w:link w:val="Bodytext"/>
    <w:rsid w:val="008C6DA0"/>
    <w:pPr>
      <w:shd w:val="clear" w:color="auto" w:fill="FFFFFF"/>
      <w:spacing w:before="360" w:after="660" w:line="0" w:lineRule="atLeast"/>
      <w:ind w:hanging="440"/>
    </w:pPr>
    <w:rPr>
      <w:rFonts w:ascii="Calibri" w:eastAsia="Calibri" w:hAnsi="Calibri" w:cs="Calibri"/>
      <w:sz w:val="21"/>
      <w:szCs w:val="21"/>
    </w:rPr>
  </w:style>
  <w:style w:type="paragraph" w:customStyle="1" w:styleId="akapitosobny">
    <w:name w:val="akapit osobny"/>
    <w:basedOn w:val="Normalny"/>
    <w:next w:val="Normalny"/>
    <w:rsid w:val="008C6DA0"/>
    <w:pPr>
      <w:spacing w:before="120" w:line="300" w:lineRule="atLeast"/>
      <w:jc w:val="both"/>
    </w:pPr>
    <w:rPr>
      <w:szCs w:val="20"/>
    </w:rPr>
  </w:style>
  <w:style w:type="character" w:customStyle="1" w:styleId="Bodytext14">
    <w:name w:val="Body text (14)_"/>
    <w:basedOn w:val="Domylnaczcionkaakapitu"/>
    <w:link w:val="Bodytext140"/>
    <w:rsid w:val="008C6DA0"/>
    <w:rPr>
      <w:rFonts w:ascii="Calibri" w:eastAsia="Calibri" w:hAnsi="Calibri" w:cs="Calibri"/>
      <w:sz w:val="15"/>
      <w:szCs w:val="15"/>
      <w:shd w:val="clear" w:color="auto" w:fill="FFFFFF"/>
    </w:rPr>
  </w:style>
  <w:style w:type="character" w:customStyle="1" w:styleId="Bodytext13">
    <w:name w:val="Body text (13)"/>
    <w:basedOn w:val="Domylnaczcionkaakapitu"/>
    <w:rsid w:val="008C6DA0"/>
    <w:rPr>
      <w:rFonts w:ascii="Calibri" w:eastAsia="Calibri" w:hAnsi="Calibri" w:cs="Calibri"/>
      <w:b w:val="0"/>
      <w:bCs w:val="0"/>
      <w:i w:val="0"/>
      <w:iCs w:val="0"/>
      <w:smallCaps w:val="0"/>
      <w:strike w:val="0"/>
      <w:spacing w:val="0"/>
      <w:sz w:val="16"/>
      <w:szCs w:val="16"/>
    </w:rPr>
  </w:style>
  <w:style w:type="paragraph" w:customStyle="1" w:styleId="Bodytext140">
    <w:name w:val="Body text (14)"/>
    <w:basedOn w:val="Normalny"/>
    <w:link w:val="Bodytext14"/>
    <w:rsid w:val="008C6DA0"/>
    <w:pPr>
      <w:shd w:val="clear" w:color="auto" w:fill="FFFFFF"/>
      <w:spacing w:line="211" w:lineRule="exact"/>
      <w:jc w:val="both"/>
    </w:pPr>
    <w:rPr>
      <w:rFonts w:ascii="Calibri" w:eastAsia="Calibri" w:hAnsi="Calibri" w:cs="Calibri"/>
      <w:sz w:val="15"/>
      <w:szCs w:val="15"/>
    </w:rPr>
  </w:style>
  <w:style w:type="paragraph" w:customStyle="1" w:styleId="Style16">
    <w:name w:val="Style16"/>
    <w:basedOn w:val="Normalny"/>
    <w:rsid w:val="008C6DA0"/>
    <w:pPr>
      <w:widowControl w:val="0"/>
      <w:autoSpaceDE w:val="0"/>
      <w:autoSpaceDN w:val="0"/>
      <w:adjustRightInd w:val="0"/>
      <w:spacing w:line="300" w:lineRule="exact"/>
      <w:jc w:val="both"/>
    </w:pPr>
    <w:rPr>
      <w:rFonts w:ascii="Arial Black" w:hAnsi="Arial Black"/>
    </w:rPr>
  </w:style>
  <w:style w:type="character" w:customStyle="1" w:styleId="FontStyle60">
    <w:name w:val="Font Style60"/>
    <w:rsid w:val="008C6DA0"/>
    <w:rPr>
      <w:rFonts w:ascii="Times New Roman" w:hAnsi="Times New Roman" w:cs="Times New Roman"/>
      <w:sz w:val="22"/>
      <w:szCs w:val="22"/>
    </w:rPr>
  </w:style>
  <w:style w:type="paragraph" w:styleId="NormalnyWeb">
    <w:name w:val="Normal (Web)"/>
    <w:basedOn w:val="Normalny"/>
    <w:uiPriority w:val="99"/>
    <w:unhideWhenUsed/>
    <w:rsid w:val="008C6DA0"/>
    <w:pPr>
      <w:spacing w:before="100" w:beforeAutospacing="1" w:after="100" w:afterAutospacing="1"/>
    </w:pPr>
  </w:style>
  <w:style w:type="paragraph" w:styleId="Bezodstpw">
    <w:name w:val="No Spacing"/>
    <w:uiPriority w:val="1"/>
    <w:qFormat/>
    <w:rsid w:val="00F67C12"/>
    <w:rPr>
      <w:sz w:val="24"/>
      <w:szCs w:val="24"/>
      <w:lang w:val="en-US"/>
    </w:rPr>
  </w:style>
  <w:style w:type="character" w:styleId="Pogrubienie">
    <w:name w:val="Strong"/>
    <w:qFormat/>
    <w:rsid w:val="00F67C12"/>
    <w:rPr>
      <w:b/>
      <w:bCs/>
    </w:rPr>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
    <w:rsid w:val="00B91F2C"/>
    <w:pPr>
      <w:spacing w:before="240" w:after="120"/>
    </w:pPr>
    <w:rPr>
      <w:szCs w:val="20"/>
    </w:r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B91F2C"/>
    <w:rPr>
      <w:sz w:val="24"/>
    </w:rPr>
  </w:style>
  <w:style w:type="paragraph" w:styleId="Tekstprzypisudolnego">
    <w:name w:val="footnote text"/>
    <w:aliases w:val="Tekst przypisu"/>
    <w:basedOn w:val="Normalny"/>
    <w:link w:val="TekstprzypisudolnegoZnak"/>
    <w:semiHidden/>
    <w:rsid w:val="00B91F2C"/>
    <w:rPr>
      <w:sz w:val="20"/>
      <w:szCs w:val="20"/>
    </w:rPr>
  </w:style>
  <w:style w:type="character" w:customStyle="1" w:styleId="TekstprzypisudolnegoZnak">
    <w:name w:val="Tekst przypisu dolnego Znak"/>
    <w:aliases w:val="Tekst przypisu Znak"/>
    <w:basedOn w:val="Domylnaczcionkaakapitu"/>
    <w:link w:val="Tekstprzypisudolnego"/>
    <w:semiHidden/>
    <w:rsid w:val="00B91F2C"/>
  </w:style>
  <w:style w:type="character" w:styleId="Odwoanieprzypisudolnego">
    <w:name w:val="footnote reference"/>
    <w:aliases w:val="Odwołanie przypisu,Odwołanie przypisu dolnego2,Odwołanie przypisu dolnego1,Odwołanie przypisu1"/>
    <w:semiHidden/>
    <w:rsid w:val="00B91F2C"/>
    <w:rPr>
      <w:vertAlign w:val="superscript"/>
    </w:rPr>
  </w:style>
  <w:style w:type="paragraph" w:styleId="Tytu">
    <w:name w:val="Title"/>
    <w:basedOn w:val="Normalny"/>
    <w:link w:val="TytuZnak"/>
    <w:qFormat/>
    <w:rsid w:val="00B91F2C"/>
    <w:pPr>
      <w:jc w:val="center"/>
    </w:pPr>
    <w:rPr>
      <w:b/>
      <w:bCs/>
      <w:sz w:val="28"/>
    </w:rPr>
  </w:style>
  <w:style w:type="character" w:customStyle="1" w:styleId="TytuZnak">
    <w:name w:val="Tytuł Znak"/>
    <w:basedOn w:val="Domylnaczcionkaakapitu"/>
    <w:link w:val="Tytu"/>
    <w:rsid w:val="00B91F2C"/>
    <w:rPr>
      <w:b/>
      <w:bCs/>
      <w:sz w:val="28"/>
      <w:szCs w:val="24"/>
    </w:rPr>
  </w:style>
  <w:style w:type="paragraph" w:styleId="Tekstdymka">
    <w:name w:val="Balloon Text"/>
    <w:basedOn w:val="Normalny"/>
    <w:link w:val="TekstdymkaZnak"/>
    <w:semiHidden/>
    <w:unhideWhenUsed/>
    <w:rsid w:val="007B3D08"/>
    <w:rPr>
      <w:rFonts w:ascii="Segoe UI" w:hAnsi="Segoe UI" w:cs="Segoe UI"/>
      <w:sz w:val="18"/>
      <w:szCs w:val="18"/>
    </w:rPr>
  </w:style>
  <w:style w:type="character" w:customStyle="1" w:styleId="TekstdymkaZnak">
    <w:name w:val="Tekst dymka Znak"/>
    <w:basedOn w:val="Domylnaczcionkaakapitu"/>
    <w:link w:val="Tekstdymka"/>
    <w:semiHidden/>
    <w:rsid w:val="007B3D08"/>
    <w:rPr>
      <w:rFonts w:ascii="Segoe UI" w:hAnsi="Segoe UI" w:cs="Segoe UI"/>
      <w:sz w:val="18"/>
      <w:szCs w:val="18"/>
    </w:rPr>
  </w:style>
  <w:style w:type="paragraph" w:styleId="Nagwek">
    <w:name w:val="header"/>
    <w:basedOn w:val="Normalny"/>
    <w:link w:val="NagwekZnak"/>
    <w:unhideWhenUsed/>
    <w:rsid w:val="00CD0E68"/>
    <w:pPr>
      <w:tabs>
        <w:tab w:val="center" w:pos="4536"/>
        <w:tab w:val="right" w:pos="9072"/>
      </w:tabs>
    </w:pPr>
  </w:style>
  <w:style w:type="character" w:customStyle="1" w:styleId="NagwekZnak">
    <w:name w:val="Nagłówek Znak"/>
    <w:basedOn w:val="Domylnaczcionkaakapitu"/>
    <w:link w:val="Nagwek"/>
    <w:rsid w:val="00CD0E68"/>
    <w:rPr>
      <w:sz w:val="24"/>
      <w:szCs w:val="24"/>
    </w:rPr>
  </w:style>
  <w:style w:type="paragraph" w:styleId="Stopka">
    <w:name w:val="footer"/>
    <w:basedOn w:val="Normalny"/>
    <w:link w:val="StopkaZnak"/>
    <w:unhideWhenUsed/>
    <w:rsid w:val="00CD0E68"/>
    <w:pPr>
      <w:tabs>
        <w:tab w:val="center" w:pos="4536"/>
        <w:tab w:val="right" w:pos="9072"/>
      </w:tabs>
    </w:pPr>
  </w:style>
  <w:style w:type="character" w:customStyle="1" w:styleId="StopkaZnak">
    <w:name w:val="Stopka Znak"/>
    <w:basedOn w:val="Domylnaczcionkaakapitu"/>
    <w:link w:val="Stopka"/>
    <w:rsid w:val="00CD0E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galis.pl/document-view.seam?documentId=mfrxilrvgaytgmzrg44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MS@mf.gov.pl"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10.0.24.50/plweb-cgi/lp.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galis.pl/document-view.seam?documentId=mfrxilrtg4ytamrqge2t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91C99-CB22-4B76-9963-5B13B677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8149</Words>
  <Characters>48898</Characters>
  <Application>Microsoft Office Word</Application>
  <DocSecurity>0</DocSecurity>
  <Lines>407</Lines>
  <Paragraphs>113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Ozga Dariusz</dc:creator>
  <cp:lastModifiedBy>Ozga Dariusz</cp:lastModifiedBy>
  <cp:revision>6</cp:revision>
  <cp:lastPrinted>2018-04-23T11:01:00Z</cp:lastPrinted>
  <dcterms:created xsi:type="dcterms:W3CDTF">2018-05-18T08:59:00Z</dcterms:created>
  <dcterms:modified xsi:type="dcterms:W3CDTF">2018-05-22T07:36:00Z</dcterms:modified>
</cp:coreProperties>
</file>