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1B" w:rsidRPr="00211A9A" w:rsidRDefault="006A27C1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11A9A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2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A4186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A4186D" w:rsidRDefault="0086175C" w:rsidP="002743F0">
      <w:pPr>
        <w:pStyle w:val="Tekstpodstawowy2"/>
        <w:tabs>
          <w:tab w:val="left" w:pos="7548"/>
        </w:tabs>
        <w:spacing w:line="240" w:lineRule="auto"/>
        <w:ind w:left="4962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 w:rsidR="002743F0">
        <w:rPr>
          <w:rFonts w:ascii="Arial" w:hAnsi="Arial" w:cs="Arial"/>
          <w:color w:val="000000" w:themeColor="text1"/>
          <w:sz w:val="18"/>
          <w:szCs w:val="18"/>
        </w:rPr>
        <w:t>1</w:t>
      </w:r>
      <w:r w:rsidR="00AC1BFD">
        <w:rPr>
          <w:rFonts w:ascii="Arial" w:hAnsi="Arial" w:cs="Arial"/>
          <w:color w:val="000000" w:themeColor="text1"/>
          <w:sz w:val="18"/>
          <w:szCs w:val="18"/>
        </w:rPr>
        <w:t>6</w:t>
      </w:r>
      <w:r w:rsidRPr="0086175C">
        <w:rPr>
          <w:rFonts w:ascii="Arial" w:hAnsi="Arial" w:cs="Arial"/>
          <w:color w:val="000000" w:themeColor="text1"/>
          <w:sz w:val="18"/>
          <w:szCs w:val="18"/>
        </w:rPr>
        <w:t xml:space="preserve"> do Regulaminu </w:t>
      </w:r>
      <w:r w:rsidRPr="0086175C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2743F0" w:rsidRPr="002743F0">
        <w:rPr>
          <w:rFonts w:ascii="Arial" w:hAnsi="Arial" w:cs="Arial"/>
          <w:color w:val="000000" w:themeColor="text1"/>
          <w:sz w:val="18"/>
          <w:szCs w:val="18"/>
        </w:rPr>
        <w:t>RPWM.</w:t>
      </w:r>
      <w:r w:rsidR="00023756" w:rsidRPr="002743F0">
        <w:rPr>
          <w:rFonts w:ascii="Arial" w:hAnsi="Arial" w:cs="Arial"/>
          <w:color w:val="000000" w:themeColor="text1"/>
          <w:sz w:val="18"/>
          <w:szCs w:val="18"/>
        </w:rPr>
        <w:t>0</w:t>
      </w:r>
      <w:r w:rsidR="00023756">
        <w:rPr>
          <w:rFonts w:ascii="Arial" w:hAnsi="Arial" w:cs="Arial"/>
          <w:color w:val="000000" w:themeColor="text1"/>
          <w:sz w:val="18"/>
          <w:szCs w:val="18"/>
        </w:rPr>
        <w:t>1</w:t>
      </w:r>
      <w:r w:rsidR="002743F0" w:rsidRPr="002743F0">
        <w:rPr>
          <w:rFonts w:ascii="Arial" w:hAnsi="Arial" w:cs="Arial"/>
          <w:color w:val="000000" w:themeColor="text1"/>
          <w:sz w:val="18"/>
          <w:szCs w:val="18"/>
        </w:rPr>
        <w:t>.</w:t>
      </w:r>
      <w:r w:rsidR="00023756" w:rsidRPr="002743F0">
        <w:rPr>
          <w:rFonts w:ascii="Arial" w:hAnsi="Arial" w:cs="Arial"/>
          <w:color w:val="000000" w:themeColor="text1"/>
          <w:sz w:val="18"/>
          <w:szCs w:val="18"/>
        </w:rPr>
        <w:t>0</w:t>
      </w:r>
      <w:r w:rsidR="00023756">
        <w:rPr>
          <w:rFonts w:ascii="Arial" w:hAnsi="Arial" w:cs="Arial"/>
          <w:color w:val="000000" w:themeColor="text1"/>
          <w:sz w:val="18"/>
          <w:szCs w:val="18"/>
        </w:rPr>
        <w:t>3</w:t>
      </w:r>
      <w:r w:rsidR="002743F0" w:rsidRPr="002743F0">
        <w:rPr>
          <w:rFonts w:ascii="Arial" w:hAnsi="Arial" w:cs="Arial"/>
          <w:color w:val="000000" w:themeColor="text1"/>
          <w:sz w:val="18"/>
          <w:szCs w:val="18"/>
        </w:rPr>
        <w:t>.</w:t>
      </w:r>
      <w:r w:rsidR="00023756" w:rsidRPr="002743F0">
        <w:rPr>
          <w:rFonts w:ascii="Arial" w:hAnsi="Arial" w:cs="Arial"/>
          <w:color w:val="000000" w:themeColor="text1"/>
          <w:sz w:val="18"/>
          <w:szCs w:val="18"/>
        </w:rPr>
        <w:t>0</w:t>
      </w:r>
      <w:r w:rsidR="00023756">
        <w:rPr>
          <w:rFonts w:ascii="Arial" w:hAnsi="Arial" w:cs="Arial"/>
          <w:color w:val="000000" w:themeColor="text1"/>
          <w:sz w:val="18"/>
          <w:szCs w:val="18"/>
        </w:rPr>
        <w:t>1</w:t>
      </w:r>
      <w:r w:rsidR="002743F0" w:rsidRPr="002743F0">
        <w:rPr>
          <w:rFonts w:ascii="Arial" w:hAnsi="Arial" w:cs="Arial"/>
          <w:color w:val="000000" w:themeColor="text1"/>
          <w:sz w:val="18"/>
          <w:szCs w:val="18"/>
        </w:rPr>
        <w:t>-IZ.00-28-001/16</w:t>
      </w:r>
      <w:r w:rsidR="002743F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86175C">
        <w:rPr>
          <w:rFonts w:ascii="Arial" w:hAnsi="Arial" w:cs="Arial"/>
          <w:color w:val="000000" w:themeColor="text1"/>
          <w:sz w:val="18"/>
          <w:szCs w:val="18"/>
        </w:rPr>
        <w:t>(…)</w:t>
      </w:r>
      <w:r w:rsidRPr="0086175C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del w:id="1" w:author="p.kolakowski" w:date="2016-09-12T09:41:00Z">
        <w:r w:rsidRPr="0086175C" w:rsidDel="001B4E8E">
          <w:rPr>
            <w:rFonts w:ascii="Arial" w:hAnsi="Arial" w:cs="Arial"/>
            <w:color w:val="000000" w:themeColor="text1"/>
            <w:sz w:val="18"/>
            <w:szCs w:val="18"/>
          </w:rPr>
          <w:delText xml:space="preserve">………………. </w:delText>
        </w:r>
      </w:del>
      <w:ins w:id="2" w:author="p.kolakowski" w:date="2016-09-12T09:41:00Z">
        <w:r w:rsidR="001B4E8E">
          <w:rPr>
            <w:rFonts w:ascii="Arial" w:hAnsi="Arial" w:cs="Arial"/>
            <w:color w:val="000000" w:themeColor="text1"/>
            <w:sz w:val="18"/>
            <w:szCs w:val="18"/>
          </w:rPr>
          <w:t xml:space="preserve"> </w:t>
        </w:r>
      </w:ins>
      <w:ins w:id="3" w:author="p.kolakowski" w:date="2016-09-12T09:42:00Z">
        <w:r w:rsidR="001B4E8E">
          <w:rPr>
            <w:rFonts w:ascii="Arial" w:hAnsi="Arial" w:cs="Arial"/>
            <w:color w:val="000000" w:themeColor="text1"/>
            <w:sz w:val="18"/>
            <w:szCs w:val="18"/>
          </w:rPr>
          <w:t>23.08.</w:t>
        </w:r>
      </w:ins>
      <w:r w:rsidRPr="0086175C">
        <w:rPr>
          <w:rFonts w:ascii="Arial" w:hAnsi="Arial" w:cs="Arial"/>
          <w:color w:val="000000" w:themeColor="text1"/>
          <w:sz w:val="18"/>
          <w:szCs w:val="18"/>
        </w:rPr>
        <w:t>2016 r.</w:t>
      </w:r>
    </w:p>
    <w:p w:rsidR="00834A1B" w:rsidRPr="00A4186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del w:id="4" w:author="p.kolakowski" w:date="2016-09-12T09:42:00Z">
        <w:r w:rsidRPr="00211A9A" w:rsidDel="001B4E8E">
          <w:rPr>
            <w:rFonts w:ascii="Arial" w:hAnsi="Arial" w:cs="Arial"/>
            <w:sz w:val="20"/>
            <w:szCs w:val="20"/>
          </w:rPr>
          <w:delText xml:space="preserve"> </w:delText>
        </w:r>
        <w:r w:rsidR="006462C0" w:rsidDel="001B4E8E">
          <w:rPr>
            <w:rFonts w:ascii="Arial" w:hAnsi="Arial" w:cs="Arial"/>
            <w:sz w:val="20"/>
            <w:szCs w:val="20"/>
          </w:rPr>
          <w:delText>…………………</w:delText>
        </w:r>
      </w:del>
      <w:ins w:id="5" w:author="p.kolakowski" w:date="2016-09-12T09:42:00Z">
        <w:r w:rsidR="001B4E8E">
          <w:rPr>
            <w:rFonts w:ascii="Arial" w:hAnsi="Arial" w:cs="Arial"/>
            <w:sz w:val="20"/>
            <w:szCs w:val="20"/>
          </w:rPr>
          <w:t>23 sierpnia</w:t>
        </w:r>
      </w:ins>
      <w:r w:rsidR="006C6162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Prace Komisji Oceny Projektów przebiegają w ramach wyodrębnionych Zespołów oceniających.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9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Nadzór nad Komisją Oceny Projektów sprawuje Instytucja Zarządzająca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834A1B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</w:t>
      </w:r>
      <w:proofErr w:type="spellStart"/>
      <w:r w:rsidRPr="00211A9A">
        <w:rPr>
          <w:rFonts w:ascii="Calibri" w:hAnsi="Calibri" w:cs="Arial"/>
          <w:sz w:val="20"/>
          <w:szCs w:val="20"/>
        </w:rPr>
        <w:t>BP-EFRR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” – rozumie się przez to Biuro Projektów w Departamencie Europejskiego Funduszu Rozwoju Regionalnego Urzędu Marszałkowskiego Województwa Warmińsko-Mazurskiego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IZ,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„Departament EFRR” – rozumie się przez to Departament Europejskiego Funduszu Rozwoju Regionalnego Urzędu Marszałkowskiego Województwa Warmińsko-Mazurskiego w Olsztynie </w:t>
      </w: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Pr="00211A9A">
        <w:rPr>
          <w:rFonts w:ascii="Calibri" w:hAnsi="Calibri" w:cs="Arial"/>
          <w:sz w:val="20"/>
          <w:u w:val="single"/>
        </w:rPr>
        <w:t xml:space="preserve">.)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Kierownik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834A1B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Kierownik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Pr="00211A9A">
        <w:rPr>
          <w:rFonts w:ascii="Calibri" w:hAnsi="Calibri" w:cs="Arial"/>
          <w:i/>
          <w:sz w:val="20"/>
        </w:rPr>
        <w:t xml:space="preserve">Wykazem </w:t>
      </w:r>
      <w:r w:rsidRPr="00211A9A">
        <w:rPr>
          <w:rFonts w:ascii="Calibri" w:hAnsi="Calibri" w:cs="Arial"/>
          <w:i/>
          <w:sz w:val="20"/>
        </w:rPr>
        <w:lastRenderedPageBreak/>
        <w:t>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834A1B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Kierownik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przy obecności Pracownika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Kierownika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Dyrektorowi EFRR/</w:t>
      </w:r>
      <w:proofErr w:type="spellStart"/>
      <w:r w:rsidRPr="00211A9A">
        <w:rPr>
          <w:rFonts w:ascii="Calibri" w:hAnsi="Calibri" w:cs="Arial"/>
          <w:sz w:val="20"/>
        </w:rPr>
        <w:t>Z-cy</w:t>
      </w:r>
      <w:proofErr w:type="spellEnd"/>
      <w:r w:rsidRPr="00211A9A">
        <w:rPr>
          <w:rFonts w:ascii="Calibri" w:hAnsi="Calibri" w:cs="Arial"/>
          <w:sz w:val="20"/>
        </w:rPr>
        <w:t xml:space="preserve"> Dyrektora EFRR propozycji składu KOP, zawierającej wskazanych Pracowników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 Dyrektora EFRR/</w:t>
      </w:r>
      <w:proofErr w:type="spellStart"/>
      <w:r w:rsidRPr="00211A9A">
        <w:rPr>
          <w:rFonts w:ascii="Calibri" w:hAnsi="Calibri" w:cs="Arial"/>
          <w:sz w:val="20"/>
        </w:rPr>
        <w:t>Z-cę</w:t>
      </w:r>
      <w:proofErr w:type="spellEnd"/>
      <w:r w:rsidRPr="00211A9A">
        <w:rPr>
          <w:rFonts w:ascii="Calibri" w:hAnsi="Calibri" w:cs="Arial"/>
          <w:sz w:val="20"/>
        </w:rPr>
        <w:t xml:space="preserve"> Dyrektora EFRR,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powołaniu składu KOP przez Dyrektora EFRR/</w:t>
      </w:r>
      <w:proofErr w:type="spellStart"/>
      <w:r w:rsidRPr="00211A9A">
        <w:rPr>
          <w:rFonts w:ascii="Calibri" w:hAnsi="Calibri" w:cs="Arial"/>
          <w:sz w:val="20"/>
        </w:rPr>
        <w:t>Z-cę</w:t>
      </w:r>
      <w:proofErr w:type="spellEnd"/>
      <w:r w:rsidRPr="00211A9A">
        <w:rPr>
          <w:rFonts w:ascii="Calibri" w:hAnsi="Calibri" w:cs="Arial"/>
          <w:sz w:val="20"/>
        </w:rPr>
        <w:t xml:space="preserve"> Dyrektora EFRR,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IZ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znacznej rozbieżności w ocenie. Przez znaczną rozbieżność należy rozumieć sytuację przyznania przez Ekspertów skrajnych ocen w ramach jednego kryterium. W tej sytuacji decydujący jest głos dodatkowego Eksperta. Do końcowej oceny kryterium, w ramach którego został wylosowany trzeci ekspert,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eksperta;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eksperta, którego ocena jest najbardziej zbliżona do oceny eksperta dodatkowego.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proofErr w:type="spellStart"/>
      <w:r w:rsidRPr="00211A9A">
        <w:rPr>
          <w:rFonts w:ascii="Calibri" w:hAnsi="Calibri" w:cs="Arial"/>
        </w:rPr>
        <w:t>BP-EFRR</w:t>
      </w:r>
      <w:proofErr w:type="spellEnd"/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KOP powoływana jest przez Dyrektora EFRR/</w:t>
      </w:r>
      <w:proofErr w:type="spellStart"/>
      <w:r w:rsidRPr="00211A9A">
        <w:rPr>
          <w:rFonts w:ascii="Calibri" w:hAnsi="Calibri" w:cs="Arial"/>
          <w:sz w:val="20"/>
        </w:rPr>
        <w:t>Z-cę</w:t>
      </w:r>
      <w:proofErr w:type="spellEnd"/>
      <w:r w:rsidRPr="00211A9A">
        <w:rPr>
          <w:rFonts w:ascii="Calibri" w:hAnsi="Calibri" w:cs="Arial"/>
          <w:sz w:val="20"/>
        </w:rPr>
        <w:t xml:space="preserve"> Dyrektora EFRR w terminie do 7 dni od dnia zatwierdzenia przez Dyrektora EFRR/</w:t>
      </w:r>
      <w:proofErr w:type="spellStart"/>
      <w:r w:rsidRPr="00211A9A">
        <w:rPr>
          <w:rFonts w:ascii="Calibri" w:hAnsi="Calibri" w:cs="Arial"/>
          <w:sz w:val="20"/>
        </w:rPr>
        <w:t>Z-cę</w:t>
      </w:r>
      <w:proofErr w:type="spellEnd"/>
      <w:r w:rsidRPr="00211A9A">
        <w:rPr>
          <w:rFonts w:ascii="Calibri" w:hAnsi="Calibri" w:cs="Arial"/>
          <w:sz w:val="20"/>
        </w:rPr>
        <w:t xml:space="preserve"> Dyrektora EFRR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Kierownika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 Dyrektorowi EFRR/</w:t>
      </w:r>
      <w:proofErr w:type="spellStart"/>
      <w:r w:rsidRPr="00211A9A">
        <w:rPr>
          <w:rFonts w:ascii="Calibri" w:hAnsi="Calibri" w:cs="Arial"/>
          <w:sz w:val="20"/>
        </w:rPr>
        <w:t>Z-cy</w:t>
      </w:r>
      <w:proofErr w:type="spellEnd"/>
      <w:r w:rsidRPr="00211A9A">
        <w:rPr>
          <w:rFonts w:ascii="Calibri" w:hAnsi="Calibri" w:cs="Arial"/>
          <w:sz w:val="20"/>
        </w:rPr>
        <w:t xml:space="preserve"> Dyrektora EFRR propozycji składu KOP, zawierającej wskazanych Pracowników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 xml:space="preserve">Wykazem dziedzin Regionalnego Programu </w:t>
      </w:r>
      <w:r w:rsidRPr="00211A9A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dokonują oceny złożonych wniosków o dofinansowanie na podstawie umowy zawartej między Województwem Warmińsko-Mazurskim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Urzędzie Marszałkowskim Województwa Warmińsko-Mazurskiego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Kierownik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Dyrektor/Z-ca Dyrektora EFRR. W wyjątkowych przypadkach </w:t>
      </w:r>
      <w:r w:rsidRPr="00211A9A">
        <w:rPr>
          <w:rFonts w:ascii="Calibri" w:hAnsi="Calibri" w:cs="Arial"/>
          <w:sz w:val="20"/>
        </w:rPr>
        <w:br/>
        <w:t>np. nieobecności Przewodniczącego KOP na posiedzeniu KOP, Dyrektor/Z-ca Dyrektora EFRR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proofErr w:type="spellStart"/>
      <w:r w:rsidRPr="00211A9A">
        <w:rPr>
          <w:rFonts w:ascii="Calibri" w:hAnsi="Calibri" w:cs="Arial"/>
          <w:sz w:val="20"/>
          <w:szCs w:val="20"/>
        </w:rPr>
        <w:t>BP-EFRR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>Dyrektora EFRR/</w:t>
      </w:r>
      <w:proofErr w:type="spellStart"/>
      <w:r w:rsidRPr="00211A9A">
        <w:rPr>
          <w:rFonts w:ascii="Calibri" w:hAnsi="Calibri" w:cs="Arial"/>
          <w:sz w:val="20"/>
          <w:szCs w:val="20"/>
        </w:rPr>
        <w:t>Z-cę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EFRR i podaje ją do publicznej wiadomości na stronie internetowej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3666AA" w:rsidRPr="00211A9A">
        <w:rPr>
          <w:rFonts w:ascii="Calibri" w:hAnsi="Calibri" w:cs="Arial"/>
          <w:sz w:val="20"/>
          <w:szCs w:val="20"/>
        </w:rPr>
        <w:t>6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Urzędu Marszałkowskiego Województwa Warmińsko-Mazurskiego w Olsztynie lub w innym pomieszczeniu wynajętym w tym celu (pod warunkiem zabezpieczenia dokumentów przed dostępem osób trzecich oraz zapewnienia właściwych warunków pracy KOP).</w:t>
      </w:r>
    </w:p>
    <w:p w:rsidR="00834A1B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D035B9" w:rsidRDefault="00D035B9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Dopuszcza się dokonywanie oceny wniosku przez Eksperta poza siedzibą Urzędu Marszałkowskiego Województwa Warmińsko-Mazurskiego w Olsztynie na podstawie elektronicznej wersji wniosku </w:t>
      </w:r>
      <w:r w:rsidR="009A5E42">
        <w:rPr>
          <w:rFonts w:ascii="Calibri" w:hAnsi="Calibri" w:cs="Arial"/>
          <w:sz w:val="20"/>
          <w:szCs w:val="20"/>
        </w:rPr>
        <w:t xml:space="preserve">                      </w:t>
      </w:r>
      <w:r>
        <w:rPr>
          <w:rFonts w:ascii="Calibri" w:hAnsi="Calibri" w:cs="Arial"/>
          <w:sz w:val="20"/>
          <w:szCs w:val="20"/>
        </w:rPr>
        <w:t xml:space="preserve">i załączników przesłanej Ekspertowi przez Sekretarza KOP po uzyskaniu </w:t>
      </w:r>
      <w:r w:rsidR="00FC5912">
        <w:rPr>
          <w:rFonts w:ascii="Calibri" w:hAnsi="Calibri" w:cs="Arial"/>
          <w:sz w:val="20"/>
          <w:szCs w:val="20"/>
        </w:rPr>
        <w:t>podpisanej umowy o dzieło</w:t>
      </w:r>
      <w:r>
        <w:rPr>
          <w:rFonts w:ascii="Calibri" w:hAnsi="Calibri" w:cs="Arial"/>
          <w:sz w:val="20"/>
          <w:szCs w:val="20"/>
        </w:rPr>
        <w:t xml:space="preserve"> oraz O</w:t>
      </w:r>
      <w:r w:rsidR="009A5E42">
        <w:rPr>
          <w:rFonts w:ascii="Calibri" w:hAnsi="Calibri" w:cs="Arial"/>
          <w:sz w:val="20"/>
          <w:szCs w:val="20"/>
        </w:rPr>
        <w:t>ś</w:t>
      </w:r>
      <w:r>
        <w:rPr>
          <w:rFonts w:ascii="Calibri" w:hAnsi="Calibri" w:cs="Arial"/>
          <w:sz w:val="20"/>
          <w:szCs w:val="20"/>
        </w:rPr>
        <w:t xml:space="preserve">wiadczenia o braku </w:t>
      </w:r>
      <w:proofErr w:type="spellStart"/>
      <w:r>
        <w:rPr>
          <w:rFonts w:ascii="Calibri" w:hAnsi="Calibri" w:cs="Arial"/>
          <w:sz w:val="20"/>
          <w:szCs w:val="20"/>
        </w:rPr>
        <w:t>powiazań</w:t>
      </w:r>
      <w:proofErr w:type="spellEnd"/>
      <w:r>
        <w:rPr>
          <w:rFonts w:ascii="Calibri" w:hAnsi="Calibri" w:cs="Arial"/>
          <w:sz w:val="20"/>
          <w:szCs w:val="20"/>
        </w:rPr>
        <w:t xml:space="preserve"> między Ekspertami </w:t>
      </w:r>
      <w:r w:rsidR="00FC5912">
        <w:rPr>
          <w:rFonts w:ascii="Calibri" w:hAnsi="Calibri" w:cs="Arial"/>
          <w:sz w:val="20"/>
          <w:szCs w:val="20"/>
        </w:rPr>
        <w:t xml:space="preserve"> przesłan</w:t>
      </w:r>
      <w:r w:rsidR="008C52B6">
        <w:rPr>
          <w:rFonts w:ascii="Calibri" w:hAnsi="Calibri" w:cs="Arial"/>
          <w:sz w:val="20"/>
          <w:szCs w:val="20"/>
        </w:rPr>
        <w:t>ych</w:t>
      </w:r>
      <w:r w:rsidR="00FC5912">
        <w:rPr>
          <w:rFonts w:ascii="Calibri" w:hAnsi="Calibri" w:cs="Arial"/>
          <w:sz w:val="20"/>
          <w:szCs w:val="20"/>
        </w:rPr>
        <w:t xml:space="preserve"> droga elektroniczna  a następnie złożon</w:t>
      </w:r>
      <w:r w:rsidR="008C52B6">
        <w:rPr>
          <w:rFonts w:ascii="Calibri" w:hAnsi="Calibri" w:cs="Arial"/>
          <w:sz w:val="20"/>
          <w:szCs w:val="20"/>
        </w:rPr>
        <w:t>ych</w:t>
      </w:r>
      <w:r w:rsidR="00FC5912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w wersji papierowej. Decyzja, w jaki sposób Ekspert dokonuje oceny podejmowana jest przez Przewodniczącego KOP. </w:t>
      </w: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Urzędu Marszałkowskiego Województwa Warmińsko-Mazurskiego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proofErr w:type="spellStart"/>
      <w:r w:rsidRPr="00211A9A">
        <w:rPr>
          <w:rFonts w:ascii="Calibri" w:hAnsi="Calibri" w:cs="Arial"/>
          <w:sz w:val="20"/>
          <w:szCs w:val="20"/>
        </w:rPr>
        <w:t>BP-EFRR</w:t>
      </w:r>
      <w:proofErr w:type="spellEnd"/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 co najmniej dwóch Ekspertów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Ocenę końcową wniosku w danym kryterium punktowym stanowi średnia ocen Ekspertów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Każdy z ekspertów powołanych w skład KOP wypełnia kartę oceny kryteriów merytorycznych premiujących.</w:t>
      </w:r>
    </w:p>
    <w:p w:rsidR="005B46B7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średnia ocen Ekspertów biorących udział w ocenie danego kryterium.</w:t>
      </w:r>
    </w:p>
    <w:p w:rsidR="00834A1B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FC5912" w:rsidRPr="00FC5912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Rozstrzygniecie konkursu następuje w terminie 10 dni od zakończenia etapu oceny formalno-merytorycznej poprzez zatwierdzenie przez Zarząd WWM w formie uchwały listy ocenionych projektów opracowanej przez KOP zawierającej przyznane oceny, wskazującej projekty, które spełniły kryteria wyboru projektów i:</w:t>
      </w:r>
    </w:p>
    <w:p w:rsidR="002A0A0D" w:rsidRDefault="00FC5912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2A0A0D" w:rsidRDefault="00FC5912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:rsidR="002A0A0D" w:rsidRDefault="00FC5912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FC5912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 oraz Członków KOP. 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6462C0" w:rsidRDefault="006462C0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6462C0" w:rsidRDefault="006462C0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IZ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3685"/>
        <w:gridCol w:w="2410"/>
        <w:gridCol w:w="850"/>
      </w:tblGrid>
      <w:tr w:rsidR="00211A9A" w:rsidRPr="00211A9A" w:rsidTr="003D3F37">
        <w:trPr>
          <w:trHeight w:hRule="exact" w:val="1113"/>
        </w:trPr>
        <w:tc>
          <w:tcPr>
            <w:tcW w:w="496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 Zespołu oceniającego KOP</w:t>
            </w:r>
          </w:p>
        </w:tc>
        <w:tc>
          <w:tcPr>
            <w:tcW w:w="3685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Zespołu oceniającego KOP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wniosków podlegających ocenie przez poszczególne Zespoły oceniające KOP</w:t>
            </w:r>
          </w:p>
        </w:tc>
        <w:tc>
          <w:tcPr>
            <w:tcW w:w="850" w:type="dxa"/>
            <w:shd w:val="clear" w:color="auto" w:fill="DDD9C3"/>
            <w:vAlign w:val="center"/>
          </w:tcPr>
          <w:p w:rsidR="00834A1B" w:rsidRPr="00211A9A" w:rsidRDefault="00834A1B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211A9A" w:rsidRPr="00211A9A" w:rsidTr="003D3F37">
        <w:trPr>
          <w:trHeight w:hRule="exact" w:val="320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211A9A">
              <w:rPr>
                <w:rFonts w:ascii="Calibri" w:hAnsi="Calibri" w:cs="Arial"/>
                <w:sz w:val="20"/>
                <w:szCs w:val="20"/>
              </w:rPr>
              <w:t>Zespół oceniający KOP nr 1</w:t>
            </w: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3D3F37">
        <w:trPr>
          <w:trHeight w:hRule="exact" w:val="271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3D3F37">
        <w:trPr>
          <w:trHeight w:hRule="exact" w:val="288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211A9A">
              <w:rPr>
                <w:rFonts w:ascii="Calibri" w:hAnsi="Calibri" w:cs="Arial"/>
                <w:sz w:val="20"/>
                <w:szCs w:val="20"/>
              </w:rPr>
              <w:t>Zespół oceniający KOP nr 2</w:t>
            </w: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3D3F37">
        <w:trPr>
          <w:trHeight w:hRule="exact" w:val="276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wyniku losowania powstały następujące Zespoły oceniające KOP w ramach kryteriów merytorycznych: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3685"/>
        <w:gridCol w:w="2410"/>
        <w:gridCol w:w="850"/>
      </w:tblGrid>
      <w:tr w:rsidR="00211A9A" w:rsidRPr="00211A9A" w:rsidTr="00DA272D">
        <w:trPr>
          <w:trHeight w:hRule="exact" w:val="1113"/>
        </w:trPr>
        <w:tc>
          <w:tcPr>
            <w:tcW w:w="496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 Zespołu oceniającego KOP(Eksperta)</w:t>
            </w:r>
          </w:p>
        </w:tc>
        <w:tc>
          <w:tcPr>
            <w:tcW w:w="3685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Zespołu oceniającego KOP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wniosków podlegających ocenie przez poszczególne Zespoły oceniające KOP</w:t>
            </w:r>
          </w:p>
        </w:tc>
        <w:tc>
          <w:tcPr>
            <w:tcW w:w="850" w:type="dxa"/>
            <w:shd w:val="clear" w:color="auto" w:fill="DDD9C3"/>
            <w:vAlign w:val="center"/>
          </w:tcPr>
          <w:p w:rsidR="00834A1B" w:rsidRPr="00211A9A" w:rsidRDefault="00834A1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211A9A" w:rsidRPr="00211A9A" w:rsidTr="00DA272D">
        <w:trPr>
          <w:trHeight w:hRule="exact" w:val="320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211A9A">
              <w:rPr>
                <w:rFonts w:ascii="Calibri" w:hAnsi="Calibri" w:cs="Arial"/>
                <w:sz w:val="20"/>
                <w:szCs w:val="20"/>
              </w:rPr>
              <w:t>Zespół oceniający KOP nr 1</w:t>
            </w: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DA272D">
        <w:trPr>
          <w:trHeight w:hRule="exact" w:val="271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DA272D">
        <w:trPr>
          <w:trHeight w:hRule="exact" w:val="288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  <w:r w:rsidRPr="00211A9A">
              <w:rPr>
                <w:rFonts w:ascii="Calibri" w:hAnsi="Calibri" w:cs="Arial"/>
                <w:sz w:val="20"/>
                <w:szCs w:val="20"/>
              </w:rPr>
              <w:t>Zespół oceniający KOP nr 2</w:t>
            </w: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DA272D">
        <w:trPr>
          <w:trHeight w:hRule="exact" w:val="276"/>
        </w:trPr>
        <w:tc>
          <w:tcPr>
            <w:tcW w:w="496" w:type="dxa"/>
            <w:vAlign w:val="center"/>
          </w:tcPr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34A1B" w:rsidRPr="00211A9A" w:rsidRDefault="00834A1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34A1B" w:rsidRPr="00211A9A" w:rsidRDefault="00834A1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34A1B" w:rsidRPr="00211A9A" w:rsidRDefault="00834A1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Urzędu Marszałkowskiego Województwa Warmińsko-Mazurskiego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FC5912" w:rsidRDefault="0086175C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Pr="0086175C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FC5912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FC5912" w:rsidRDefault="0086175C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834A1B" w:rsidRPr="00FC5912" w:rsidRDefault="0086175C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FC5912" w:rsidRDefault="0086175C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FC5912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FC5912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poz. 217) korzystam z pełni praw publicznych, posiadam pełną zdolność do czynności prawnych, nie zostałam/</w:t>
      </w:r>
      <w:proofErr w:type="spellStart"/>
      <w:r w:rsidRPr="0086175C">
        <w:rPr>
          <w:rFonts w:ascii="Calibri" w:hAnsi="Calibri" w:cs="Arial"/>
          <w:color w:val="000000" w:themeColor="text1"/>
          <w:sz w:val="20"/>
          <w:szCs w:val="20"/>
        </w:rPr>
        <w:t>-e</w:t>
      </w:r>
      <w:proofErr w:type="spellEnd"/>
      <w:r w:rsidRPr="0086175C">
        <w:rPr>
          <w:rFonts w:ascii="Calibri" w:hAnsi="Calibri" w:cs="Arial"/>
          <w:color w:val="000000" w:themeColor="text1"/>
          <w:sz w:val="20"/>
          <w:szCs w:val="20"/>
        </w:rPr>
        <w:t>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FC5912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86175C">
        <w:rPr>
          <w:rFonts w:ascii="Calibri" w:hAnsi="Calibri" w:cs="Arial"/>
          <w:bCs/>
          <w:color w:val="000000" w:themeColor="text1"/>
          <w:sz w:val="20"/>
          <w:szCs w:val="20"/>
        </w:rPr>
        <w:t>późn</w:t>
      </w:r>
      <w:proofErr w:type="spellEnd"/>
      <w:r w:rsidRPr="0086175C">
        <w:rPr>
          <w:rFonts w:ascii="Calibri" w:hAnsi="Calibri" w:cs="Arial"/>
          <w:bCs/>
          <w:color w:val="000000" w:themeColor="text1"/>
          <w:sz w:val="20"/>
          <w:szCs w:val="20"/>
        </w:rPr>
        <w:t>.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86175C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86175C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86175C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FC5912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FC5912" w:rsidRDefault="0086175C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FC5912" w:rsidRDefault="0086175C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FC5912" w:rsidRDefault="0086175C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FC5912" w:rsidRDefault="0086175C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FC5912" w:rsidRDefault="0086175C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FC5912" w:rsidRDefault="0086175C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f) mam świadomość, że odnośnie lit. </w:t>
      </w:r>
      <w:proofErr w:type="spellStart"/>
      <w:r w:rsidRPr="0086175C">
        <w:rPr>
          <w:rFonts w:ascii="Calibri" w:hAnsi="Calibri" w:cs="Arial"/>
          <w:color w:val="000000" w:themeColor="text1"/>
          <w:sz w:val="20"/>
          <w:szCs w:val="20"/>
        </w:rPr>
        <w:t>b-d</w:t>
      </w:r>
      <w:proofErr w:type="spellEnd"/>
      <w:r w:rsidRPr="0086175C">
        <w:rPr>
          <w:rFonts w:ascii="Calibri" w:hAnsi="Calibri" w:cs="Arial"/>
          <w:color w:val="000000" w:themeColor="text1"/>
          <w:sz w:val="20"/>
          <w:szCs w:val="20"/>
        </w:rPr>
        <w:t>, przesłanki tam wymienione dotyczą także sytuacji, gdy ustało małżeństwo, kuratela, przysposobienie lub opieka;</w:t>
      </w:r>
    </w:p>
    <w:p w:rsidR="00834A1B" w:rsidRPr="00FC5912" w:rsidRDefault="0086175C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FC5912" w:rsidRDefault="0086175C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FC5912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A0A0D" w:rsidRDefault="0086175C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:rsidR="002A0A0D" w:rsidRDefault="0086175C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86175C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:rsidR="00834A1B" w:rsidRPr="00FC5912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FC59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FC59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FC59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FC59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6175C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FC5912" w:rsidRDefault="0086175C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</w:r>
      <w:r w:rsidRPr="0086175C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FC5912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FC59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FC5912" w:rsidRDefault="00826573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175C" w:rsidRPr="0086175C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FC5912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FC5912" w:rsidRDefault="0086175C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FC5912" w:rsidRDefault="0086175C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b/>
          <w:color w:val="000000" w:themeColor="text1"/>
          <w:sz w:val="20"/>
          <w:szCs w:val="20"/>
        </w:rPr>
        <w:t>O BRAKU POWIĄZAŃ MIĘDZY EKSPERTAMI</w:t>
      </w:r>
    </w:p>
    <w:p w:rsidR="001375A4" w:rsidRPr="00FC5912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FC5912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FC5912" w:rsidRDefault="0086175C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6175C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procedurze:</w:t>
      </w:r>
    </w:p>
    <w:p w:rsidR="001375A4" w:rsidRPr="00FC5912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URZĘDU MARSZAŁKOWSKIEGO WOJEWÓDZTWA WARMIŃSKO-MAZURSKIEGO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  <w:t>Biuro/Departament: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BC" w:rsidRDefault="001B2ABC" w:rsidP="00667027">
      <w:r>
        <w:separator/>
      </w:r>
    </w:p>
  </w:endnote>
  <w:endnote w:type="continuationSeparator" w:id="0">
    <w:p w:rsidR="001B2ABC" w:rsidRDefault="001B2ABC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1B" w:rsidRDefault="001C2A64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1B4E8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BC" w:rsidRDefault="001B2ABC" w:rsidP="00667027">
      <w:r>
        <w:separator/>
      </w:r>
    </w:p>
  </w:footnote>
  <w:footnote w:type="continuationSeparator" w:id="0">
    <w:p w:rsidR="001B2ABC" w:rsidRDefault="001B2ABC" w:rsidP="00667027">
      <w:r>
        <w:continuationSeparator/>
      </w:r>
    </w:p>
  </w:footnote>
  <w:footnote w:id="1">
    <w:p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885DA3" w:rsidRDefault="00885DA3">
      <w:pPr>
        <w:pStyle w:val="Tekstprzypisudolnego"/>
      </w:pPr>
    </w:p>
  </w:footnote>
  <w:footnote w:id="2">
    <w:p w:rsidR="00885DA3" w:rsidRPr="00FC5912" w:rsidRDefault="0086175C">
      <w:pPr>
        <w:pStyle w:val="Tekstprzypisudolnego"/>
        <w:rPr>
          <w:color w:val="000000" w:themeColor="text1"/>
        </w:rPr>
      </w:pPr>
      <w:r w:rsidRPr="0086175C">
        <w:rPr>
          <w:rStyle w:val="Odwoanieprzypisudolnego"/>
          <w:color w:val="000000" w:themeColor="text1"/>
        </w:rPr>
        <w:footnoteRef/>
      </w:r>
      <w:r w:rsidRPr="0086175C">
        <w:rPr>
          <w:color w:val="000000" w:themeColor="text1"/>
        </w:rPr>
        <w:t xml:space="preserve"> Urząd Miasta Olsztyn,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3756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4784"/>
    <w:rsid w:val="00144975"/>
    <w:rsid w:val="00147A62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2ABC"/>
    <w:rsid w:val="001B4E8E"/>
    <w:rsid w:val="001B76B7"/>
    <w:rsid w:val="001B79C0"/>
    <w:rsid w:val="001C2A64"/>
    <w:rsid w:val="001C5864"/>
    <w:rsid w:val="001C674A"/>
    <w:rsid w:val="001C69E5"/>
    <w:rsid w:val="001D4EA4"/>
    <w:rsid w:val="001D5CC9"/>
    <w:rsid w:val="001E1399"/>
    <w:rsid w:val="001F5B12"/>
    <w:rsid w:val="001F77DB"/>
    <w:rsid w:val="00211A9A"/>
    <w:rsid w:val="00211C95"/>
    <w:rsid w:val="00212269"/>
    <w:rsid w:val="002130EB"/>
    <w:rsid w:val="00214B53"/>
    <w:rsid w:val="002153A0"/>
    <w:rsid w:val="00231A49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743F0"/>
    <w:rsid w:val="00284664"/>
    <w:rsid w:val="00285D29"/>
    <w:rsid w:val="00286206"/>
    <w:rsid w:val="00287254"/>
    <w:rsid w:val="002872FE"/>
    <w:rsid w:val="002916D4"/>
    <w:rsid w:val="00295165"/>
    <w:rsid w:val="002A0A0D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F064F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74C"/>
    <w:rsid w:val="004334B8"/>
    <w:rsid w:val="00435BA7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635A"/>
    <w:rsid w:val="004C74BB"/>
    <w:rsid w:val="004D130C"/>
    <w:rsid w:val="004D2C60"/>
    <w:rsid w:val="004D38C0"/>
    <w:rsid w:val="004D45F9"/>
    <w:rsid w:val="004D5EED"/>
    <w:rsid w:val="004D7188"/>
    <w:rsid w:val="004D7573"/>
    <w:rsid w:val="004E74E2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C3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20488"/>
    <w:rsid w:val="00826573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75C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701ED"/>
    <w:rsid w:val="009714B6"/>
    <w:rsid w:val="009754EA"/>
    <w:rsid w:val="009804CC"/>
    <w:rsid w:val="009808E9"/>
    <w:rsid w:val="00996C2F"/>
    <w:rsid w:val="00997937"/>
    <w:rsid w:val="009A29CD"/>
    <w:rsid w:val="009A5E42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C1BF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70F92"/>
    <w:rsid w:val="00B7498C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18EC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7CAB"/>
    <w:rsid w:val="00D37AAE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70BB9-0CAC-43AF-A8A0-1B4B8547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4815</Words>
  <Characters>28893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p.kolakowski</cp:lastModifiedBy>
  <cp:revision>6</cp:revision>
  <cp:lastPrinted>2016-07-20T13:19:00Z</cp:lastPrinted>
  <dcterms:created xsi:type="dcterms:W3CDTF">2016-07-20T13:19:00Z</dcterms:created>
  <dcterms:modified xsi:type="dcterms:W3CDTF">2016-09-12T07:42:00Z</dcterms:modified>
</cp:coreProperties>
</file>