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C2" w:rsidRPr="00E82999" w:rsidRDefault="004076C2" w:rsidP="004076C2">
      <w:bookmarkStart w:id="0" w:name="_Toc315681317"/>
      <w:r>
        <w:rPr>
          <w:sz w:val="26"/>
          <w:szCs w:val="26"/>
        </w:rPr>
        <w:t>3.23.</w:t>
      </w:r>
      <w:r w:rsidRPr="00C03564">
        <w:rPr>
          <w:sz w:val="26"/>
          <w:szCs w:val="26"/>
        </w:rPr>
        <w:t xml:space="preserve"> </w:t>
      </w:r>
      <w:bookmarkEnd w:id="0"/>
      <w:r>
        <w:rPr>
          <w:sz w:val="26"/>
          <w:szCs w:val="26"/>
        </w:rPr>
        <w:t xml:space="preserve">Wykaz uwag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t xml:space="preserve"> </w:t>
      </w:r>
    </w:p>
    <w:p w:rsidR="004076C2" w:rsidRPr="00B72297" w:rsidRDefault="004076C2" w:rsidP="004076C2">
      <w:pPr>
        <w:pStyle w:val="Tekstpodstawowy"/>
        <w:jc w:val="center"/>
        <w:outlineLvl w:val="0"/>
        <w:rPr>
          <w:b/>
          <w:sz w:val="22"/>
          <w:szCs w:val="22"/>
        </w:rPr>
      </w:pPr>
      <w:r w:rsidRPr="00202E9E">
        <w:t xml:space="preserve">Wykaz </w:t>
      </w:r>
      <w:r>
        <w:t>uwag</w:t>
      </w:r>
      <w:r w:rsidRPr="00202E9E">
        <w:t xml:space="preserve"> do</w:t>
      </w:r>
      <w:r>
        <w:t xml:space="preserve"> </w:t>
      </w:r>
      <w:r>
        <w:rPr>
          <w:b/>
          <w:sz w:val="22"/>
          <w:szCs w:val="22"/>
        </w:rPr>
        <w:t>KP-611-363-ARiMR/1/z</w:t>
      </w:r>
    </w:p>
    <w:p w:rsidR="004076C2" w:rsidRDefault="004076C2" w:rsidP="004076C2">
      <w:pPr>
        <w:rPr>
          <w:szCs w:val="24"/>
        </w:rPr>
      </w:pPr>
    </w:p>
    <w:p w:rsidR="004076C2" w:rsidRPr="00202E9E" w:rsidRDefault="004076C2" w:rsidP="004076C2">
      <w:pPr>
        <w:rPr>
          <w:szCs w:val="24"/>
        </w:rPr>
      </w:pPr>
    </w:p>
    <w:tbl>
      <w:tblPr>
        <w:tblW w:w="14142" w:type="dxa"/>
        <w:tblLayout w:type="fixed"/>
        <w:tblLook w:val="04A0"/>
      </w:tblPr>
      <w:tblGrid>
        <w:gridCol w:w="648"/>
        <w:gridCol w:w="6973"/>
        <w:gridCol w:w="2268"/>
        <w:gridCol w:w="4253"/>
      </w:tblGrid>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0800E9">
            <w:pPr>
              <w:rPr>
                <w:szCs w:val="24"/>
              </w:rPr>
            </w:pPr>
            <w:r w:rsidRPr="000570CA">
              <w:rPr>
                <w:szCs w:val="24"/>
              </w:rPr>
              <w:t>Lp.</w:t>
            </w:r>
          </w:p>
        </w:tc>
        <w:tc>
          <w:tcPr>
            <w:tcW w:w="6973" w:type="dxa"/>
            <w:tcBorders>
              <w:top w:val="single" w:sz="4" w:space="0" w:color="auto"/>
              <w:left w:val="single" w:sz="4" w:space="0" w:color="auto"/>
              <w:bottom w:val="single" w:sz="4" w:space="0" w:color="auto"/>
              <w:right w:val="single" w:sz="4" w:space="0" w:color="auto"/>
            </w:tcBorders>
            <w:shd w:val="clear" w:color="auto" w:fill="auto"/>
            <w:vAlign w:val="center"/>
          </w:tcPr>
          <w:p w:rsidR="004076C2" w:rsidRPr="003505EB" w:rsidRDefault="004076C2" w:rsidP="000800E9">
            <w:pPr>
              <w:jc w:val="center"/>
              <w:rPr>
                <w:b/>
                <w:szCs w:val="24"/>
              </w:rPr>
            </w:pPr>
            <w:r w:rsidRPr="003505EB">
              <w:rPr>
                <w:b/>
                <w:szCs w:val="24"/>
              </w:rPr>
              <w:t>Treść uwagi</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076C2" w:rsidRPr="003505EB" w:rsidRDefault="004076C2" w:rsidP="000800E9">
            <w:pPr>
              <w:jc w:val="center"/>
              <w:rPr>
                <w:b/>
                <w:szCs w:val="24"/>
              </w:rPr>
            </w:pPr>
            <w:r w:rsidRPr="003505EB">
              <w:rPr>
                <w:b/>
                <w:szCs w:val="24"/>
              </w:rPr>
              <w:t>Nazwa  komórki organizacyjnej zgłaszającej uwagę</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4076C2" w:rsidRPr="003505EB" w:rsidRDefault="004076C2" w:rsidP="000800E9">
            <w:pPr>
              <w:jc w:val="center"/>
              <w:rPr>
                <w:b/>
                <w:szCs w:val="24"/>
              </w:rPr>
            </w:pPr>
            <w:r w:rsidRPr="003505EB">
              <w:rPr>
                <w:b/>
                <w:szCs w:val="24"/>
              </w:rPr>
              <w:t>Uzasadnienie</w:t>
            </w:r>
          </w:p>
          <w:p w:rsidR="004076C2" w:rsidRPr="003505EB" w:rsidDel="006F34AF" w:rsidRDefault="004076C2" w:rsidP="000800E9">
            <w:pPr>
              <w:jc w:val="center"/>
              <w:rPr>
                <w:sz w:val="16"/>
                <w:szCs w:val="16"/>
              </w:rPr>
            </w:pPr>
            <w:r w:rsidRPr="003505EB">
              <w:rPr>
                <w:sz w:val="16"/>
                <w:szCs w:val="16"/>
              </w:rPr>
              <w:t>(należy zamieścić informację, dlaczego zmiana nie została uwzględniona lub została uwzględniona tylko w części)</w:t>
            </w:r>
          </w:p>
        </w:tc>
      </w:tr>
      <w:tr w:rsidR="004076C2" w:rsidRPr="000570CA" w:rsidTr="000800E9">
        <w:trPr>
          <w:trHeight w:val="649"/>
        </w:trPr>
        <w:tc>
          <w:tcPr>
            <w:tcW w:w="14142" w:type="dxa"/>
            <w:gridSpan w:val="4"/>
            <w:tcBorders>
              <w:top w:val="single" w:sz="4" w:space="0" w:color="auto"/>
              <w:left w:val="single" w:sz="4" w:space="0" w:color="auto"/>
              <w:bottom w:val="single" w:sz="4" w:space="0" w:color="auto"/>
              <w:right w:val="single" w:sz="4" w:space="0" w:color="auto"/>
            </w:tcBorders>
            <w:shd w:val="clear" w:color="auto" w:fill="auto"/>
          </w:tcPr>
          <w:p w:rsidR="004076C2" w:rsidRPr="003505EB" w:rsidRDefault="004076C2" w:rsidP="000800E9">
            <w:pPr>
              <w:jc w:val="center"/>
              <w:rPr>
                <w:b/>
                <w:szCs w:val="24"/>
              </w:rPr>
            </w:pPr>
            <w:r>
              <w:rPr>
                <w:b/>
                <w:szCs w:val="24"/>
              </w:rPr>
              <w:t>Wykaz wprowadzonych uwag</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 xml:space="preserve">str. 7 z 33, pkt 1.1.2: nazwy poddziałań 3.2 i 7.4 odbiegają od nomenklatury użytej w art. 3 ustawy z dnia 20 lutego 2015r. o wspieraniu ….; </w:t>
            </w:r>
          </w:p>
          <w:p w:rsidR="004076C2" w:rsidRPr="00B6087C" w:rsidRDefault="004076C2" w:rsidP="000800E9">
            <w:pPr>
              <w:pStyle w:val="ZnakZnakZnak"/>
              <w:jc w:val="both"/>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Częściowo uwzględniono, nazwy działań są zgodne z ustawą, jednak dodatkowo uwzględnia się ich zakresy szczegółowe wynikające z PROW 2014-2020</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 xml:space="preserve">str. 16 z 33, pkt 10, tiret pierwsze: sugerujemy usunąć wyraz „się” w nawiasie oraz wyraz „wdrażająca” w trzeciej linijce; </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vAlign w:val="center"/>
          </w:tcPr>
          <w:p w:rsidR="004076C2" w:rsidRPr="00B6087C" w:rsidRDefault="004076C2" w:rsidP="000800E9">
            <w:pPr>
              <w:pStyle w:val="Nagwek1"/>
              <w:jc w:val="both"/>
              <w:rPr>
                <w:rFonts w:ascii="Times New Roman" w:hAnsi="Times New Roman" w:cs="Times New Roman"/>
                <w:b w:val="0"/>
                <w:bCs w:val="0"/>
                <w:kern w:val="0"/>
                <w:sz w:val="24"/>
                <w:szCs w:val="20"/>
              </w:rPr>
            </w:pPr>
            <w:r w:rsidRPr="00B6087C">
              <w:rPr>
                <w:rFonts w:ascii="Times New Roman" w:hAnsi="Times New Roman" w:cs="Times New Roman"/>
                <w:b w:val="0"/>
                <w:bCs w:val="0"/>
                <w:kern w:val="0"/>
                <w:sz w:val="24"/>
                <w:szCs w:val="20"/>
              </w:rPr>
              <w:t>str. 17 z 33, pkt 19:  art. 13 ust. 1 projektu rozporządzenia o finansowaniu wspólnej polityki rolnej wyszczególnia 5 działań, w ramach których możliwe jest uzyskanie wyprzedającego finansowania w wysokości wkładu EFFROW w formie oprocentowanej pożyczki udzielonej przez BGK. Wątpliwości DP budzi ostatnie z wyszczególnionych działań, gdyż jego nazwa nie odpowiada nomenklaturze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str. 17 z 33, pkt 20: nomenklatura działań objętych możliwością uzyskania zaliczki jest niezgodna z art. 20 projektu ustawy o finansowaniu WPR w związku z art. 3 ustawy z 20 lutego 2015r.;</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rPr>
                <w:szCs w:val="20"/>
              </w:rPr>
            </w:pPr>
            <w:r w:rsidRPr="00B6087C">
              <w:rPr>
                <w:szCs w:val="20"/>
              </w:rPr>
              <w:t>str. 17 z 33, pkt 21: nazwa działania objętego możliwością uzyskania wyprzedzającego finansowania z Agencji Płatniczej jest niezgodna z art. 18 projektu ustawy o finansowaniu WPR w związku z art. 3 ustawy z 20 lutego 2015r.</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 xml:space="preserve">pismo P-9.363: -publikator KPA – należy dodać zwrot „z późn. zm.”, </w:t>
            </w:r>
          </w:p>
          <w:p w:rsidR="004076C2" w:rsidRPr="00B6087C" w:rsidRDefault="004076C2" w:rsidP="000800E9">
            <w:pPr>
              <w:jc w:val="both"/>
            </w:pPr>
            <w:r w:rsidRPr="00B6087C">
              <w:t>- należy poprawić publikator ustawy o ARiMR (Dz. U. z 2014r. poz. 1438),</w:t>
            </w:r>
          </w:p>
          <w:p w:rsidR="004076C2" w:rsidRPr="00B6087C" w:rsidRDefault="004076C2" w:rsidP="000800E9">
            <w:pPr>
              <w:jc w:val="both"/>
            </w:pPr>
            <w:r w:rsidRPr="00B6087C">
              <w:t xml:space="preserve">- po nazwie działania sugerujemy dodać „PROW 2014-2020”, oraz ewentualnie rozważyć doprecyzowanie nazwy poddziałania „wsparcie na przystępowanie do systemów jakości”, </w:t>
            </w:r>
          </w:p>
          <w:p w:rsidR="004076C2" w:rsidRPr="00B6087C" w:rsidRDefault="004076C2" w:rsidP="000800E9">
            <w:pPr>
              <w:jc w:val="both"/>
            </w:pPr>
            <w:r w:rsidRPr="00B6087C">
              <w:t xml:space="preserve">- ostatnie 2 zdania sugerujemy sformułować następująco:  „W oparciu o art. 10 §1 Kpa, informuję, iż przysługuje Pani/ Panu/ Nazwa Podmiotu *……….. prawo czynnego udziału w każdym stadium postępowania, a przed wydaniem decyzji ma/ mają Pani/ Pan/ Państwo* prawo wypowiedzenia się co do zebranych dowodów i materiałów oraz zgłoszonych żądań. W przedmiotowej sprawie może Pani/ Pan/ Nazwa Podmiotu * złożyć stosowne wyjaśnienia osobiście w siedzibie …………** albo przekazać je listem nadanym w polskiej placówce pocztowej, w terminie 7 dni od dnia doręczenia niniejszego zawiadomienia.”, </w:t>
            </w:r>
          </w:p>
          <w:p w:rsidR="004076C2" w:rsidRPr="00B6087C" w:rsidRDefault="004076C2" w:rsidP="000800E9">
            <w:pPr>
              <w:pStyle w:val="ZnakZnakZnak"/>
              <w:jc w:val="both"/>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vAlign w:val="center"/>
          </w:tcPr>
          <w:p w:rsidR="004076C2" w:rsidRPr="00B6087C" w:rsidRDefault="004076C2" w:rsidP="000800E9">
            <w:pPr>
              <w:pStyle w:val="Nagwek1"/>
              <w:rPr>
                <w:rFonts w:ascii="Times New Roman" w:hAnsi="Times New Roman" w:cs="Times New Roman"/>
                <w:b w:val="0"/>
                <w:bCs w:val="0"/>
                <w:kern w:val="0"/>
                <w:sz w:val="24"/>
                <w:szCs w:val="20"/>
              </w:rPr>
            </w:pPr>
            <w:r w:rsidRPr="00B6087C">
              <w:rPr>
                <w:rFonts w:ascii="Times New Roman" w:hAnsi="Times New Roman" w:cs="Times New Roman"/>
                <w:b w:val="0"/>
                <w:bCs w:val="0"/>
                <w:kern w:val="0"/>
                <w:sz w:val="24"/>
                <w:szCs w:val="20"/>
              </w:rPr>
              <w:t xml:space="preserve">Dokument zgłoszenia należności ZW-1/12, str. 2: sugerujemy usunąć </w:t>
            </w:r>
            <w:r w:rsidRPr="00B6087C">
              <w:rPr>
                <w:rFonts w:ascii="Times New Roman" w:hAnsi="Times New Roman" w:cs="Times New Roman"/>
                <w:b w:val="0"/>
                <w:bCs w:val="0"/>
                <w:kern w:val="0"/>
                <w:sz w:val="24"/>
                <w:szCs w:val="20"/>
              </w:rPr>
              <w:lastRenderedPageBreak/>
              <w:t> odnośnik „**” wraz z opisem „zgodnie z art. 35 rozporządzenia Rady (WE) Nr 1290/2005 w sprawie finansowania wspólnej polityki rolnej”. Powyższy odnośnik jest zbędny w niniejszym dokumencie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ind w:firstLine="6"/>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3.17. Instrukcja wypełniania załącznika do listy zleceń płatności …, str. 9-10 z 11, tabela:  nazewnictwo sub-środków nie jest zgodne z załącznikiem 1 cz. 5 rozporządzenia (UE) Nr 808/2014 , sugerujemy dostosować brzmienie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3.20. Instrukcja w sprawie ustalania kwot nienależnie, nadmiernie pobranych środków publicznych (I-4/363):</w:t>
            </w:r>
          </w:p>
          <w:p w:rsidR="004076C2" w:rsidRPr="00B6087C" w:rsidRDefault="004076C2" w:rsidP="000800E9">
            <w:pPr>
              <w:jc w:val="both"/>
            </w:pPr>
            <w:r w:rsidRPr="00B6087C">
              <w:t xml:space="preserve">-  str. 2 , pkt 4, akapit trzeci:  Zasady dotyczące trybu zwrotu środków w zakresie wyprzedzającego finansowania/ zaliczek wynikać będą z przepisów ustawy o finansowaniu wspólnej polityki rolnej a nie z ustawy o uruchamianiu środków, oraz z przepisów o ARiMR, </w:t>
            </w:r>
          </w:p>
          <w:p w:rsidR="004076C2" w:rsidRPr="00B6087C" w:rsidRDefault="004076C2" w:rsidP="000800E9">
            <w:pPr>
              <w:jc w:val="both"/>
            </w:pPr>
            <w:r w:rsidRPr="00B6087C">
              <w:t xml:space="preserve">- str. 2, pkt 6, akapit trzeci: proponujemy usunąć znak nawiasu, </w:t>
            </w:r>
          </w:p>
          <w:p w:rsidR="004076C2" w:rsidRPr="00B6087C" w:rsidRDefault="004076C2" w:rsidP="000800E9">
            <w:pPr>
              <w:jc w:val="both"/>
            </w:pPr>
            <w:r w:rsidRPr="00B6087C">
              <w:t xml:space="preserve">- str. 5, ostatni akapit: należy usunąć nazwy działań PROW 2007-2013, wskazując jednocześnie właściwą nazwę działania i poddziałania PROW 2014-2020, </w:t>
            </w:r>
          </w:p>
          <w:p w:rsidR="004076C2" w:rsidRPr="00B6087C" w:rsidRDefault="004076C2" w:rsidP="000800E9">
            <w:pPr>
              <w:pStyle w:val="ZnakZnakZnak"/>
              <w:jc w:val="both"/>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spacing w:before="0"/>
            </w:pPr>
            <w:r>
              <w:t>W spisie treści jest mowa o pkt. 1.1.4.6. „Dochodzenie należności” natomiast w dalszej części KP nie ma już rozwinięcia (np. brak diagramu, brak uwzględnienia w części dot. czynności wykonywane na poszczególnych stanowiskach pracy) ma to również wpływ na numerację np. na str 14,</w:t>
            </w:r>
          </w:p>
          <w:p w:rsidR="004076C2" w:rsidRPr="00B6087C" w:rsidRDefault="004076C2" w:rsidP="000800E9">
            <w:pPr>
              <w:pStyle w:val="ZnakZnakZnak"/>
              <w:jc w:val="both"/>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DAW</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W wykazie załączników w opisie  I-1/363 zawarto błędny okres programowania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DAW</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W załączniku Z-6A/308 w tytule jest mowa o „Transzy” o czym jednak nie wspomina tytuł załącznika zawarty w wykazie załączników</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DAW</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spacing w:before="0"/>
            </w:pPr>
            <w:r>
              <w:t>W Instrukcji I-4/363 w pkt 6 w numerze instrukcji I-</w:t>
            </w:r>
            <w:r w:rsidRPr="00B6087C">
              <w:t>6</w:t>
            </w:r>
            <w:r>
              <w:t>/363 powinno być I-</w:t>
            </w:r>
            <w:r w:rsidRPr="00B6087C">
              <w:t>5</w:t>
            </w:r>
            <w:r>
              <w:t xml:space="preserve">/363 </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DAW</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spacing w:before="0"/>
            </w:pPr>
            <w:r w:rsidRPr="00F86E91">
              <w:t>Rozdz. 1.1.4.3. Poprawa listy zleceń płatności/ listy zleceń płatności dla zaliczki /wyprzedzającego finansowania kosztów kwalifikowalnych - należy w diagramie zmienić zdarzenie „Przyjęcie z ARiMR informacji dotyczącej korekty danych” na zdarzenie o następującej treści „Przyjęcie z ARiMR informacji o realizacji płatności”</w:t>
            </w:r>
          </w:p>
          <w:p w:rsidR="004076C2" w:rsidRPr="00FC3893"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DF</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line="276" w:lineRule="auto"/>
              <w:jc w:val="both"/>
            </w:pPr>
            <w:r w:rsidRPr="00B6087C">
              <w:t>1.1.5. Reguły - należy usunąć zapisu pkt. 10 z uwagi na fakt, że w ramach PROW 2014-2020 DF nie przewiduje prowadzenia Rejestru Umów dla działań delegowanych. Jednocześnie KP nie przewiduje przypadku, gdy beneficjent wystąpi z wnioskiem o rozwiązanie umowy po przekazaniu do ARiMR zatwierdzonego do wypłaty zlecenia płatności i wystąpi konieczność wstrzymania zlecenia płatności. W pkt.17 należy doprecyzować, że kopię zaświadczenia lub inny dokument potwierdzający numer rachunku składa się również przy kolejnej transzy zlecenia płatności.</w:t>
            </w:r>
          </w:p>
          <w:p w:rsidR="004076C2" w:rsidRDefault="004076C2" w:rsidP="000800E9">
            <w:pPr>
              <w:spacing w:befor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DF</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line="276" w:lineRule="auto"/>
              <w:jc w:val="both"/>
            </w:pPr>
            <w:r w:rsidRPr="00B6087C">
              <w:t xml:space="preserve">KP powinna zawierać zapisy dotyczące przekazywania Umów przyznania pomocy oraz aneksów do tych umów wraz z zatwierdzonymi do wypłaty zleceniami płatności dla działania 19.1 Wsparcie przygotowawcze w ramach PROW na lata 2014-2020, które będą realizowane </w:t>
            </w:r>
            <w:r>
              <w:t xml:space="preserve">bez wsparcia wdrożeniowego systemu informatycznego. W celu sprawnej obsługi zleceń płatności DF </w:t>
            </w:r>
            <w:r>
              <w:lastRenderedPageBreak/>
              <w:t>proponuje aby do kolejnych transz dołączać kopie umów/aneksów.</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DF</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NormalnyWeb"/>
              <w:spacing w:before="0" w:after="0" w:line="276" w:lineRule="auto"/>
              <w:ind w:right="96"/>
              <w:jc w:val="both"/>
            </w:pPr>
            <w:r w:rsidRPr="00B6087C">
              <w:t>w całej procedurze (wraz załącznikami) należy ujednolicić symbole i nazwy dokumentów:</w:t>
            </w:r>
          </w:p>
          <w:p w:rsidR="004076C2" w:rsidRPr="00B6087C" w:rsidRDefault="004076C2" w:rsidP="000800E9">
            <w:pPr>
              <w:spacing w:before="0"/>
            </w:pPr>
            <w:r w:rsidRPr="00B6087C">
              <w:t>Lista Zleceń Płatności dla działań Programu Rozwoju Obszarów Wiejskich na lata 2014-2020 Z-1A/308,</w:t>
            </w:r>
          </w:p>
          <w:p w:rsidR="004076C2" w:rsidRPr="00B6087C" w:rsidRDefault="004076C2" w:rsidP="000800E9">
            <w:pPr>
              <w:spacing w:before="0"/>
            </w:pPr>
            <w:r w:rsidRPr="00B6087C">
              <w:t>Lista Zleceń Płatności dla działań Programu Rozwoju Obszarów Wiejskich na lata 2014-2020 (zaliczka/wyprzedzające finansowanie*) Z-2A/308,</w:t>
            </w:r>
          </w:p>
          <w:p w:rsidR="004076C2" w:rsidRPr="00B6087C" w:rsidRDefault="004076C2" w:rsidP="000800E9">
            <w:pPr>
              <w:spacing w:before="0"/>
            </w:pPr>
            <w:r w:rsidRPr="00B6087C">
              <w:t>Zlecenie Korygujące do Zlecenia Płatności (zaliczka/wyprzedzające finansowanie/transza*) z Listy Zleceń Płatności dla działań Programu Rozwoju Obszarów Wiejskich na lata 2014-2020 Z-6A/308</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pPr>
            <w:r w:rsidRPr="00B6087C">
              <w:t>1.1.4.2 Sporządzenie listy zleceń płatności. DK wnosi o zmianę nazwy łącznika procesów poprzedzających sporządzenie zlecenia płatności  z nazwy: „Procedury płatnicze” na nazwę:„Procedury autoryzacji płatności”</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pPr>
            <w:r w:rsidRPr="00B6087C">
              <w:t>1.1.4.3 Poprawa listy zleceń płatności/ listy zleceń płatności dla zaliczki /wyprzedzającego finansowania kosztów kwalifikowalnych</w:t>
            </w:r>
          </w:p>
          <w:p w:rsidR="004076C2" w:rsidRPr="00B6087C" w:rsidRDefault="004076C2" w:rsidP="000800E9">
            <w:pPr>
              <w:spacing w:before="0"/>
            </w:pPr>
            <w:r w:rsidRPr="00B6087C">
              <w:t>DK wnosi o zmianę treści zdarzenia:</w:t>
            </w:r>
          </w:p>
          <w:p w:rsidR="004076C2" w:rsidRPr="00B6087C" w:rsidRDefault="004076C2" w:rsidP="004076C2">
            <w:pPr>
              <w:pStyle w:val="Akapitzlist"/>
              <w:numPr>
                <w:ilvl w:val="0"/>
                <w:numId w:val="47"/>
              </w:numPr>
              <w:spacing w:before="0"/>
              <w:ind w:left="360"/>
              <w:jc w:val="both"/>
            </w:pPr>
            <w:r w:rsidRPr="00B6087C">
              <w:t xml:space="preserve">w ścieżce, gdy płatność nie została dokonana </w:t>
            </w:r>
          </w:p>
          <w:p w:rsidR="004076C2" w:rsidRPr="00B6087C" w:rsidRDefault="004076C2" w:rsidP="000800E9">
            <w:pPr>
              <w:pStyle w:val="Akapitzlist"/>
              <w:spacing w:before="0"/>
              <w:ind w:left="336"/>
              <w:jc w:val="both"/>
            </w:pPr>
            <w:r w:rsidRPr="00B6087C">
              <w:t>z zapisu:„Sporządzenie zlecenia korygującego lub/i noty korygującej” Na zapis o treści: „Sporządzenie zlecenia korygującego (In plus); (In minus) lub/i noty korygującej”</w:t>
            </w:r>
          </w:p>
          <w:p w:rsidR="004076C2" w:rsidRPr="00B6087C" w:rsidRDefault="004076C2" w:rsidP="004076C2">
            <w:pPr>
              <w:pStyle w:val="Akapitzlist"/>
              <w:numPr>
                <w:ilvl w:val="0"/>
                <w:numId w:val="47"/>
              </w:numPr>
              <w:spacing w:before="0"/>
              <w:ind w:left="336"/>
              <w:jc w:val="both"/>
            </w:pPr>
            <w:r w:rsidRPr="00B6087C">
              <w:t>w ścieżce, gdy płatność została dokonana z zapisu:„Sporządzenie zlecenia korygującego” Na zapis o treści:</w:t>
            </w:r>
          </w:p>
          <w:p w:rsidR="004076C2" w:rsidRPr="00B6087C" w:rsidRDefault="004076C2" w:rsidP="000800E9">
            <w:pPr>
              <w:pStyle w:val="Akapitzlist"/>
              <w:spacing w:before="0"/>
              <w:ind w:left="360"/>
              <w:jc w:val="both"/>
            </w:pPr>
            <w:r w:rsidRPr="00B6087C">
              <w:t>„Sporządzenie zlecenia korygującego (In plus)”.</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Akapitzlist"/>
              <w:ind w:left="0"/>
            </w:pPr>
            <w:r w:rsidRPr="00B6087C">
              <w:t xml:space="preserve">Reguły, pkt. 11, W przypadku obsługi pomocy na rzecz </w:t>
            </w:r>
            <w:r w:rsidRPr="00B6087C">
              <w:lastRenderedPageBreak/>
              <w:t xml:space="preserve">beneficjentów bez wsparcia IT, DK ARiMR w ciągu 30 dni kalendarzowych od zakończeniu kwartału roku kalendarzowego przekazuje przy wykorzystaniu poczty elektronicznej do Departamentu Działań Delegowanych raport Tabela X zwierający informacje dotyczące zapłaconych zleceń płatności (w formie elektronicznej plik excel). </w:t>
            </w:r>
          </w:p>
          <w:p w:rsidR="004076C2" w:rsidRPr="00B6087C" w:rsidRDefault="004076C2" w:rsidP="000800E9">
            <w:pPr>
              <w:jc w:val="both"/>
            </w:pPr>
            <w:r w:rsidRPr="00B6087C">
              <w:t>Następnie Departament Działań Delegowanych przekazuje ww. raport do odpowiednich jednostek wdrażających działania w ramach PROW 2014 – 2020.   Szczegółowy opis procedury zawarty jest w załączniku 3.17_I_2_ Instrukcja do Tabeli X_.”</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Akapitzlist"/>
              <w:ind w:left="0"/>
            </w:pPr>
            <w:r w:rsidRPr="00B6087C">
              <w:t>Reguły, pkt. 12, należy zmienić pierwszy akapit na następującą treść:</w:t>
            </w:r>
          </w:p>
          <w:p w:rsidR="004076C2" w:rsidRPr="00B6087C" w:rsidRDefault="004076C2" w:rsidP="000800E9">
            <w:pPr>
              <w:pStyle w:val="Akapitzlist"/>
              <w:ind w:left="0"/>
            </w:pPr>
            <w:r w:rsidRPr="00B6087C">
              <w:t>„Jeżeli w dokumentach lista zleceń płatności, zleceniach korygujących wykryto błędną nazwę, ID Beneficjenta, błędnie zautoryzowaną kwotę do wypłaty DK ARiMR zwraca dokumenty wraz z „Kartą zwrotu LZP” celem ponownego wystawienia przez jednostkę autoryzującą i zatwierdzającą kwoty do wypłaty,  zmieniając odpowiednio numer LZP/ZP.”</w:t>
            </w:r>
          </w:p>
          <w:p w:rsidR="004076C2" w:rsidRPr="00B6087C" w:rsidRDefault="004076C2" w:rsidP="000800E9">
            <w:pPr>
              <w:pStyle w:val="Akapitzlist"/>
              <w:ind w:left="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rPr>
                <w:szCs w:val="20"/>
              </w:rPr>
            </w:pPr>
            <w:r w:rsidRPr="00B6087C">
              <w:rPr>
                <w:szCs w:val="20"/>
              </w:rPr>
              <w:t>Reguły, pkt. 12, należy zmienić trzeci akapit na następującą treść: „W przypadku, gdy Zlecenie Płatności zostało wysłane do Centrali ARiMR, ale płatność nie została zrealizowana, a podmiot wdrażający uzna, ze kwota na zleceniu Płatności winna być niższa, wówczas niezwłocznie należy przekazać do DK/DF ARiMR pismo dotyczące wstrzymania płatności</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Akapitzlist"/>
              <w:ind w:left="0"/>
              <w:jc w:val="both"/>
            </w:pPr>
            <w:r w:rsidRPr="00B6087C">
              <w:t xml:space="preserve">Reguły, pkt. 13, W przypadku rozwiązania umowy należy wprowadzić zapis, że w wyniku w/w czynności jednostka </w:t>
            </w:r>
            <w:r w:rsidRPr="00B6087C">
              <w:lastRenderedPageBreak/>
              <w:t>autoryzująca winna wystawić i przekazać do Departamentu Księgowości ARiMR Zlecenie Korygujące do Zlecenia Płatności z LZP wystawione na kwotę stanowiącą równowartość „in minus” pierwotnego Zlecenia Płatności, w celu całkowitego wycofania Zlecenia Płatności z realizacji na skutek rozwiązania umowy z beneficjentem.</w:t>
            </w:r>
          </w:p>
          <w:p w:rsidR="004076C2" w:rsidRPr="00B6087C" w:rsidRDefault="004076C2" w:rsidP="000800E9">
            <w:pPr>
              <w:pStyle w:val="ZnakZnakZnak"/>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Uwzględniono, wprowadzono następujący zapis:</w:t>
            </w:r>
          </w:p>
          <w:p w:rsidR="004076C2" w:rsidRPr="00B6087C" w:rsidRDefault="004076C2" w:rsidP="000800E9">
            <w:pPr>
              <w:spacing w:before="180"/>
              <w:ind w:left="66"/>
              <w:jc w:val="both"/>
            </w:pPr>
            <w:r w:rsidRPr="00B6087C">
              <w:lastRenderedPageBreak/>
              <w:t xml:space="preserve">Jeśli Lista zleceń płatności/ zlecenie płatności przekazano do ARiMR, a umowa z Beneficjentem została rozwiązana lub decyzja została </w:t>
            </w:r>
            <w:r>
              <w:t>uchylona, zmieniona przez organ administracji publicznej, który ją wydał, lub przez organ wyższego stopnia,</w:t>
            </w:r>
            <w:r w:rsidRPr="00B6087C">
              <w:t xml:space="preserve"> wówczas w przypadku zaksięgowania dokumentu do systemu finansowo-księgowego ARiMR należy przekazać do ARiMR Zlecenie Korygujące do Zlecenia Płatności z LZP wystawione na kwotę stanowiącą równowartość „in minus” pierwotnego zlecenia lub w przypadku nie wprowadzenia dokumentu do systemu finansowo-księgowego ARiMR pisma do ARiMR z prośbą o wstrzymanie realizacji lub zwrot dokumentu finansowo-księgowego</w:t>
            </w:r>
            <w:r w:rsidRPr="00B6087C" w:rsidDel="00825496">
              <w:t xml:space="preserve"> </w:t>
            </w:r>
            <w:r w:rsidRPr="00B6087C">
              <w:t xml:space="preserve">(symbol formularza: P-3/363). </w:t>
            </w:r>
          </w:p>
          <w:p w:rsidR="004076C2" w:rsidRDefault="004076C2" w:rsidP="000800E9"/>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Akapitzlist"/>
              <w:ind w:left="0"/>
              <w:jc w:val="both"/>
            </w:pPr>
            <w:r w:rsidRPr="00B6087C">
              <w:t xml:space="preserve">Reguły, pkt. 24 „W przypadku rozliczania zaliczki możliwe jest sporządzenie listy zleceń płatności (symbol formularza: Z-1A/308) na kwotę do wypłaty 0,00 zł, przy czym niezbędne jest wówczas uzupełnienie  pola „Kwota rozliczająca pobraną zaliczkę/wyprzedzające finansowanie*”. </w:t>
            </w:r>
          </w:p>
          <w:p w:rsidR="004076C2" w:rsidRPr="000F0979" w:rsidRDefault="004076C2" w:rsidP="000800E9">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rsidRPr="00B6087C">
              <w:t>Należy usunąć zapisy reguły nr 27</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jc w:val="both"/>
            </w:pPr>
            <w:r w:rsidRPr="00B6087C">
              <w:t>Rozdział 2 Czynności wykonywane na poszczególnych stanowiskach pracy. W procesie 1.1.4.3 Poprawa listy zleceń płatności/ listy zleceń płatności dla zaliczki /wyprzedzającego finansowania kosztów kwalifikowalnych w kolumnie „Zakres czynności” należy zmienić symbol noty korygującej z: „P-1A/308” na:„P-1/308”.</w:t>
            </w:r>
          </w:p>
          <w:p w:rsidR="004076C2" w:rsidRPr="000F0979" w:rsidRDefault="004076C2" w:rsidP="000800E9">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t xml:space="preserve">Uwagi do </w:t>
            </w:r>
            <w:r w:rsidRPr="00B6087C">
              <w:t>Instrukcji wypełniania list zleceń płatności, list zleceń płatności dla zaliczki/wyprzedzającego finansowania kosztów kwalifikowalnych, zlecenia korygującego do list zleceń płatności wystawianych w ramach działań PROW na lata 2014-2020 (I-1/363)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t xml:space="preserve">Uwagi do </w:t>
            </w:r>
            <w:r w:rsidRPr="00B6087C">
              <w:t>Instrukcji sporządzania raportu Tabela X (I-2/363)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both"/>
            </w:pPr>
            <w:r>
              <w:t>Zmiana dokumentów finansowo-księgowych zgodnie z zatwierdzoną KP611-308-ARiMR/2/z:  , Z-2A/308; Z-6A/308</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t xml:space="preserve">Uwagi do pisma do Beneficjenta informujące o wszczęciu przez podmiot wdrażający postępowania administracyjnego </w:t>
            </w:r>
            <w:r w:rsidRPr="00BD6CDD">
              <w:t>(P-</w:t>
            </w:r>
            <w:r>
              <w:t>9</w:t>
            </w:r>
            <w:r w:rsidRPr="00BD6CDD">
              <w:t>/</w:t>
            </w:r>
            <w:r>
              <w:t>363</w:t>
            </w:r>
            <w:r w:rsidRPr="00BD6CDD">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DPB</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t>Uwagi do dokumentu ZW-1/12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DPB</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Brak  zapisów dotyczących przekazywania informacji przez ARiMR o wpłatach Beneficjentów.</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Mazowieckiego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rsidRPr="00B6087C">
              <w:t>Brak jednoznacznych zapisów precyzujących warunki wystawiania zleceń korygujących i ZP z numerem 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 xml:space="preserve">Urząd Marszałkowski </w:t>
            </w:r>
            <w:r>
              <w:lastRenderedPageBreak/>
              <w:t>Województwa Mazowieckiego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lastRenderedPageBreak/>
              <w:t>Uwzględniono</w:t>
            </w:r>
            <w:r>
              <w:t>, doprecyzowano zapisy instrukcji I-1/363</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0F0979" w:rsidRDefault="004076C2" w:rsidP="000800E9">
            <w:pPr>
              <w:jc w:val="both"/>
            </w:pPr>
            <w:r w:rsidRPr="00B6087C">
              <w:t>Procedura nie przewiduje przypadku dobrowolnego zwrotu środków finansowych przez Beneficjenta, który nie został poinformowany o konieczności dokonania zwrotu.</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Mazowieckiego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Tytuł KP należy zmienić, zamiast podmioty zewnętrzne należy zastosować podmioty wdrażające.</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Małopolskiego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Uwagi do KP, tj. reguły pkt. 10, 11 oraz przebieg diagramu 1.1.4.3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Wielkopolskiego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both"/>
            </w:pPr>
            <w:r w:rsidRPr="00B6087C">
              <w:t>Uwagi do KP, tj. reguły pkt. 10, 11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r>
              <w:t>, doprecyzowano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Prośba o wskazanie, jakie dokumenty należy dołączyć razem z cesją.</w:t>
            </w:r>
          </w:p>
          <w:p w:rsidR="004076C2" w:rsidRPr="00B6087C" w:rsidRDefault="004076C2" w:rsidP="000800E9">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r>
              <w:t>, doprecyzowano regulę.</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Prośba o wskazanie sposobu numerowania ZW oraz zgłoszenia należności Nr…. W ramach WPR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 xml:space="preserve">Urząd Marszałkowski </w:t>
            </w:r>
            <w:r>
              <w:lastRenderedPageBreak/>
              <w:t>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lastRenderedPageBreak/>
              <w:t>Uwzględniono</w:t>
            </w:r>
            <w:r>
              <w:t>, usunięto „WPR”</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ZW-1/12 Załączniki, Proponuje się usunąć pkt. Lista przekazywanych dokumentów</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6E591A">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3.10 Instrukcja wypełniania list zleceń płatności. Prośba o podanie przykładów podziału środków dla poszczególnych działań i Beneficjentów</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rsidRPr="003C6F70">
              <w:t>Uwzględniono</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Należy wprowadzić zmianę brzmienia „pracownik kancelarii” na „pracownik kancelaryjny”</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DAG</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6E591A">
              <w:t>Uwzględniono</w:t>
            </w:r>
          </w:p>
        </w:tc>
      </w:tr>
      <w:tr w:rsidR="004076C2" w:rsidRPr="00901E47" w:rsidTr="000800E9">
        <w:trPr>
          <w:trHeight w:val="691"/>
        </w:trPr>
        <w:tc>
          <w:tcPr>
            <w:tcW w:w="14142" w:type="dxa"/>
            <w:gridSpan w:val="4"/>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center"/>
              <w:rPr>
                <w:b/>
              </w:rPr>
            </w:pPr>
            <w:r w:rsidRPr="00B6087C">
              <w:rPr>
                <w:b/>
              </w:rPr>
              <w:t>Wykaz uwag częściowo uwzględnionych</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Akapitzlist"/>
              <w:ind w:left="0"/>
            </w:pPr>
            <w:r w:rsidRPr="00B6087C">
              <w:t>Reguły, pkt. 8, DK wnosi o wprowadzenie zapisu o treści:</w:t>
            </w:r>
          </w:p>
          <w:p w:rsidR="004076C2" w:rsidRPr="00B6087C" w:rsidRDefault="004076C2" w:rsidP="000800E9">
            <w:pPr>
              <w:pStyle w:val="Akapitzlist"/>
              <w:spacing w:before="0"/>
              <w:ind w:left="0"/>
            </w:pPr>
            <w:r w:rsidRPr="00B6087C">
              <w:t xml:space="preserve">„W przypadku wygaśnięcia terminu ważności gwarancji lub zmiany kwoty zabezpieczenia należy przekazać do DK ARiMR dokumentu P-5/308 wraz z pismem przewodnim P-4/308 informującego o przyjęciu aneksu gwarancji bankowej lub innych papierów wartościowych jako prawnego zabezpieczenia wykonania zobowiązania wynikającego z umowy (tj. w postaci: hipoteki na nieruchomości, zabezpieczenia rzeczowego, gwarancji lub poręczenia bankowego, depozytu złożonego w banku).” Powyższe wynika z obowiązującej książki procedur KP-611-308-ARiMR Procedury </w:t>
            </w:r>
            <w:r w:rsidRPr="00B6087C">
              <w:lastRenderedPageBreak/>
              <w:t>księgowe w ramach PROW 2014-2020.</w:t>
            </w:r>
          </w:p>
          <w:p w:rsidR="004076C2" w:rsidRPr="00B6087C" w:rsidRDefault="004076C2" w:rsidP="000800E9">
            <w:pPr>
              <w:pStyle w:val="ZnakZnakZnak"/>
              <w:jc w:val="both"/>
              <w:rPr>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ind w:left="360"/>
              <w:jc w:val="both"/>
            </w:pPr>
            <w:r w:rsidRPr="00B6087C">
              <w:t xml:space="preserve">Zaproponowano następujący zapis częściowo uwzględniony: „W takim przypadku  oraz wygaśnięcia terminu ważności gwarancji lub zmiany kwoty zabezpieczenia należy przekazać dokument „Specyfikacja gwarancji i innych papierów wartościowych” z pismem przewodnim informującym o zwolnieniu gwarancji i innych papierów wartościowych– będące </w:t>
            </w:r>
            <w:r w:rsidRPr="00B6087C">
              <w:lastRenderedPageBreak/>
              <w:t>załącznikami do książki procedur KP-611-359-ARiMR.</w:t>
            </w:r>
          </w:p>
          <w:p w:rsidR="004076C2" w:rsidRPr="006E591A" w:rsidRDefault="004076C2" w:rsidP="000800E9">
            <w:pPr>
              <w:jc w:val="both"/>
            </w:pPr>
            <w:r w:rsidRPr="00B6087C">
              <w:t>KP-611-308-ARiMR nie jest przekazywana do podmiotów realizujących zadania delegowane.</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W rozdziale 2 czynności wykonywane (…) należy wprowadzić zapis w zakresie dołączania dokumentacji do istniejącej teczki sprawy WoPP</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DAG</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Uwagę nie wprowadzono w rozdziale 2, lecz w rozdziale reguły pkt. 28.</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Nazwa działań poddziałań odbiega od nomenklatury zawartej w ustawie o PROW 2014-2020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DP</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r w:rsidRPr="00B6087C">
              <w:t>Nazwy działań zostały poprawione, jednak poddziałania zostały rozszerzone o nomenklaturę wynikającą z Programu PROW na lata 2014-2020</w:t>
            </w:r>
          </w:p>
        </w:tc>
      </w:tr>
      <w:tr w:rsidR="004076C2" w:rsidRPr="00B04A19" w:rsidTr="000800E9">
        <w:trPr>
          <w:trHeight w:val="767"/>
        </w:trPr>
        <w:tc>
          <w:tcPr>
            <w:tcW w:w="14142" w:type="dxa"/>
            <w:gridSpan w:val="4"/>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jc w:val="center"/>
              <w:rPr>
                <w:b/>
              </w:rPr>
            </w:pPr>
            <w:r w:rsidRPr="00B6087C">
              <w:rPr>
                <w:b/>
              </w:rPr>
              <w:t>Wykaz uwag nieuwzględnionych</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pPr>
            <w:r w:rsidRPr="00B6087C">
              <w:t>1.1.4.4 Postępowanie w przypadku zwrotu listy zleceń płatności/ listy zleceń płatności dla zaliczki/wyprzedzającego finansowania kosztów kwalifikowalnych/Zlecenia korygującego. Do wykazu dokumentów zwróconych do jednostki autoryzującej płatność należy dodać dokument „Karta zwrotu LZP”.</w:t>
            </w:r>
          </w:p>
          <w:p w:rsidR="004076C2" w:rsidRPr="00631B41" w:rsidRDefault="004076C2" w:rsidP="000800E9">
            <w:pPr>
              <w:jc w:val="both"/>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DK</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t>Nie uwzględniono. DDD zaproponował następujące wyrażenie: „zwrócono dokumenty finansowo-księgowe”.</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Brak określonego trybu postępowania w przypadku przekazania ZP na II etap operacji przy jednoczesnym przeprowadzaniu windykacji środków za I etap.</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Mazowieckiego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t>Nie ma potrzeby opisania tego przypadku, gdyż nie są bezpośrednio powiązane. W obu przypadkach mają zastosowanie inne procedury.</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 xml:space="preserve">Brak określonej prawidłowej kolejności sporządzania i przekazywania do ARiMR zleceń płatności w przypadku konieczności wystawienia ZW-1 w celu zapobieżenia zwrotowi ZP </w:t>
            </w:r>
            <w:r w:rsidRPr="00B6087C">
              <w:rPr>
                <w:szCs w:val="20"/>
              </w:rPr>
              <w:lastRenderedPageBreak/>
              <w:t>przez Agencję.</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lastRenderedPageBreak/>
              <w:t xml:space="preserve">Urząd Marszałkowski </w:t>
            </w:r>
            <w:r>
              <w:lastRenderedPageBreak/>
              <w:t>Województwa Mazowieckiego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lastRenderedPageBreak/>
              <w:t xml:space="preserve">Stosowne ścieżki przebiegu określone są w książkach płatniczych dla działań, np. </w:t>
            </w:r>
            <w:r>
              <w:lastRenderedPageBreak/>
              <w:t>w przypadku rozliczenia wyprz. fin. Na ostatnim etapie sporządzane jest ZP, jednak w przypadku konieczności zwrotu przez beneficjenta środków, to ZP do tej pory było wstrzymywane do czasu zwrotu środków. Uwaga winna zostać zgłoszono do książki płatniczej dla działania.</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9504AC">
              <w:rPr>
                <w:szCs w:val="20"/>
              </w:rPr>
              <w:t>Reguły, pkt. 11 dot. Tabeli x, należy przeredagować, przywrócić załącznik Tabela X</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Małopolskiego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t>Odrzucone, nowe podejście nie przewiduje manualnego sporządzania załącznika do ZP Tabela X.</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ZW-1/12 Tabela nr 1, wskazanie listy dokumentów dotyczących art. 54 Rozporządzenia (UE) 1306/20413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spacing w:before="0"/>
              <w:jc w:val="both"/>
            </w:pPr>
            <w:r>
              <w:t>Odrzucone, w instrukcji wypełniania dokumentu ZW-1 wskazano: „</w:t>
            </w:r>
            <w:r w:rsidRPr="00B6087C">
              <w:t>data zatwierdzenia raportu z kontroli lub podobnego dokumentu, o którym mowa w art. 54 ust. 1 Rozporządzenia (UE) nr 1306/2013, to data pierwszego w chronologii sprawy dokumentu stwierdzającego, że miała miejsce nieprawidłowość. Dokument ten skutkuje dochodzeniem należności i winien być zatwierdzony”.</w:t>
            </w:r>
          </w:p>
          <w:p w:rsidR="004076C2" w:rsidRPr="006E591A" w:rsidRDefault="004076C2" w:rsidP="000800E9"/>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Proponuje się, żeby część zapisów procedury obowiązywała także np. na etapie informowania Beneficjentów na etapie zawierania aneksów do umowy przyznania pomocy (szczególnie w sytuacji rozliczania zaliczek/ wyprzedzającego finansowania).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t>Odrzucone, UM winien poinformować pracowników z części wdrożeniowej o możliwości skorzystania z KP 363.</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Instrukcja wypełniania list zleceń płatności punkt I. Zapis od słów: „ Dokument finansowo-księgowy…” do końca zapisu – zapis niejasny – należy doprecyzować (podać przykład). Czy jedna lista dotyczy jednego WoP, czy większej liczby? Jeżeli dokument dotyczy jednego WoP - skąd bierze się kwota ogółem?</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Bezodstpw"/>
              <w:spacing w:before="120"/>
              <w:jc w:val="both"/>
              <w:rPr>
                <w:szCs w:val="20"/>
              </w:rPr>
            </w:pPr>
            <w:r w:rsidRPr="00B6087C">
              <w:rPr>
                <w:szCs w:val="20"/>
              </w:rPr>
              <w:t>W tym pkt. jest zapis: Jedna lista zleceń płatności dotyczy jedne</w:t>
            </w:r>
            <w:r>
              <w:rPr>
                <w:szCs w:val="20"/>
              </w:rPr>
              <w:t>j</w:t>
            </w:r>
            <w:r w:rsidRPr="00B6087C">
              <w:rPr>
                <w:szCs w:val="20"/>
              </w:rPr>
              <w:t xml:space="preserve"> zatwierdzonej kwoty do wypłaty w ramach jednego WoP.</w:t>
            </w:r>
          </w:p>
          <w:p w:rsidR="004076C2" w:rsidRPr="006E591A" w:rsidRDefault="004076C2" w:rsidP="000800E9"/>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Z-1A/308, pierwsza i trzecia strona dokumentu dotyczą jednego WoP. Natomiast niejasna jest strona 2 dokumentu, na której wymieniona jest większa liczba ZP</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Pr="006E591A" w:rsidRDefault="004076C2" w:rsidP="000800E9">
            <w:r>
              <w:t>Odrzucone, dokument nie podlega zmianie</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3.10 Instrukcja wypełniania list zleceń płatności punkt I definicja nadawania numeru ZP, rozbieżność pomiędzy definicją (str. 2), przykładem podanym w punkcie 1. (na przykładzie pojawia się /W01 – proponuje się pozostawić zapis/01 – „bez W” oraz rozbieżność na przykładzie dokument Z-IA/308 – str. 2 – występuje na końcu pojedyncza cyfra</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Urząd Marszałkowski Województwa Kujawsko-Pomorskiego</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 xml:space="preserve">Odrzucone, mylenie pojęć, należy odczytać znaczenie przyjętej symboliki w numerze list zleceń płatności, ZZ – drugie zlecenie w tej samej sprawie, a WW oznacza partnera </w:t>
            </w:r>
            <w:r w:rsidRPr="00AC2367">
              <w:t>projektu współpracy</w:t>
            </w:r>
            <w:r>
              <w:t>.</w:t>
            </w:r>
          </w:p>
        </w:tc>
      </w:tr>
      <w:tr w:rsidR="004076C2" w:rsidRPr="000570CA" w:rsidTr="000800E9">
        <w:tc>
          <w:tcPr>
            <w:tcW w:w="648" w:type="dxa"/>
            <w:tcBorders>
              <w:top w:val="single" w:sz="4" w:space="0" w:color="auto"/>
              <w:left w:val="single" w:sz="4" w:space="0" w:color="auto"/>
              <w:bottom w:val="single" w:sz="4" w:space="0" w:color="auto"/>
              <w:right w:val="single" w:sz="4" w:space="0" w:color="auto"/>
            </w:tcBorders>
            <w:shd w:val="clear" w:color="auto" w:fill="auto"/>
          </w:tcPr>
          <w:p w:rsidR="004076C2" w:rsidRPr="000570CA" w:rsidRDefault="004076C2" w:rsidP="004076C2">
            <w:pPr>
              <w:numPr>
                <w:ilvl w:val="0"/>
                <w:numId w:val="46"/>
              </w:numPr>
              <w:spacing w:before="0"/>
            </w:pPr>
          </w:p>
        </w:tc>
        <w:tc>
          <w:tcPr>
            <w:tcW w:w="6973" w:type="dxa"/>
            <w:tcBorders>
              <w:top w:val="single" w:sz="4" w:space="0" w:color="auto"/>
              <w:left w:val="single" w:sz="4" w:space="0" w:color="auto"/>
              <w:bottom w:val="single" w:sz="4" w:space="0" w:color="auto"/>
              <w:right w:val="single" w:sz="4" w:space="0" w:color="auto"/>
            </w:tcBorders>
            <w:shd w:val="clear" w:color="auto" w:fill="auto"/>
          </w:tcPr>
          <w:p w:rsidR="004076C2" w:rsidRPr="00B6087C" w:rsidRDefault="004076C2" w:rsidP="000800E9">
            <w:pPr>
              <w:pStyle w:val="ZnakZnakZnak"/>
              <w:jc w:val="both"/>
              <w:rPr>
                <w:szCs w:val="20"/>
              </w:rPr>
            </w:pPr>
            <w:r w:rsidRPr="00B6087C">
              <w:rPr>
                <w:szCs w:val="20"/>
              </w:rPr>
              <w:t>Należy wprowadzić znak sprawy na załączniku nr 3.18 do listy zleceń płatności (…) RWF-1/363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pPr>
              <w:jc w:val="center"/>
            </w:pPr>
            <w:r>
              <w:t>DAG</w:t>
            </w: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4076C2" w:rsidRDefault="004076C2" w:rsidP="000800E9">
            <w:r>
              <w:t>Odrzucone, załącznik ten jest opatrzony polem „</w:t>
            </w:r>
            <w:r w:rsidRPr="00D54320">
              <w:t>Nr listy zleceń płatności :”</w:t>
            </w:r>
            <w:r>
              <w:t>, który wskazuje numer listy a tym samym zawiera znak sprawy, zgodnie z instrukcją nadawania znaku sprawy.</w:t>
            </w:r>
          </w:p>
        </w:tc>
      </w:tr>
    </w:tbl>
    <w:p w:rsidR="004076C2" w:rsidRDefault="004076C2" w:rsidP="004076C2">
      <w:pPr>
        <w:spacing w:before="0"/>
        <w:rPr>
          <w:sz w:val="20"/>
        </w:rPr>
      </w:pPr>
      <w:r w:rsidRPr="003B6C5A">
        <w:rPr>
          <w:sz w:val="20"/>
        </w:rPr>
        <w:t xml:space="preserve">Sporządził: </w:t>
      </w:r>
    </w:p>
    <w:p w:rsidR="004076C2" w:rsidRDefault="004076C2" w:rsidP="004076C2">
      <w:pPr>
        <w:spacing w:before="0"/>
        <w:rPr>
          <w:sz w:val="20"/>
        </w:rPr>
      </w:pPr>
    </w:p>
    <w:p w:rsidR="004076C2" w:rsidRDefault="004076C2" w:rsidP="004076C2">
      <w:pPr>
        <w:spacing w:before="0"/>
        <w:rPr>
          <w:sz w:val="20"/>
        </w:rPr>
      </w:pPr>
      <w:r w:rsidRPr="003B6C5A">
        <w:rPr>
          <w:sz w:val="20"/>
        </w:rPr>
        <w:t xml:space="preserve">Sprawdził </w:t>
      </w:r>
      <w:r>
        <w:rPr>
          <w:sz w:val="20"/>
        </w:rPr>
        <w:t xml:space="preserve">  </w:t>
      </w:r>
    </w:p>
    <w:p w:rsidR="004076C2" w:rsidRDefault="004076C2" w:rsidP="004076C2">
      <w:pPr>
        <w:spacing w:before="0"/>
        <w:rPr>
          <w:sz w:val="20"/>
        </w:rPr>
      </w:pPr>
    </w:p>
    <w:p w:rsidR="004076C2" w:rsidRPr="003B6C5A" w:rsidRDefault="004076C2" w:rsidP="004076C2">
      <w:pPr>
        <w:spacing w:before="0"/>
        <w:rPr>
          <w:sz w:val="20"/>
        </w:rPr>
      </w:pPr>
      <w:r w:rsidRPr="003B6C5A">
        <w:rPr>
          <w:sz w:val="20"/>
        </w:rPr>
        <w:t xml:space="preserve">Zatwierdził: </w:t>
      </w:r>
    </w:p>
    <w:p w:rsidR="00924760" w:rsidRDefault="00924760"/>
    <w:sectPr w:rsidR="00924760" w:rsidSect="00BE4951">
      <w:footerReference w:type="even" r:id="rId7"/>
      <w:footerReference w:type="default" r:id="rId8"/>
      <w:footerReference w:type="first" r:id="rId9"/>
      <w:pgSz w:w="16838" w:h="11906" w:orient="landscape" w:code="9"/>
      <w:pgMar w:top="902" w:right="902" w:bottom="851" w:left="1259" w:header="454" w:footer="306" w:gutter="284"/>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F16" w:rsidRDefault="003B4F16" w:rsidP="004076C2">
      <w:pPr>
        <w:spacing w:before="0"/>
      </w:pPr>
      <w:r>
        <w:separator/>
      </w:r>
    </w:p>
  </w:endnote>
  <w:endnote w:type="continuationSeparator" w:id="0">
    <w:p w:rsidR="003B4F16" w:rsidRDefault="003B4F16" w:rsidP="004076C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1C3" w:rsidRDefault="003B4F1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42</w:t>
    </w:r>
    <w:r>
      <w:rPr>
        <w:rStyle w:val="Numerstrony"/>
      </w:rPr>
      <w:fldChar w:fldCharType="end"/>
    </w:r>
  </w:p>
  <w:p w:rsidR="00A456E4" w:rsidRDefault="003B4F16" w:rsidP="00A456E4">
    <w:pPr>
      <w:pStyle w:val="Stopka"/>
      <w:pBdr>
        <w:top w:val="single" w:sz="4" w:space="1" w:color="auto"/>
      </w:pBdr>
      <w:tabs>
        <w:tab w:val="left" w:pos="708"/>
      </w:tabs>
      <w:jc w:val="center"/>
      <w:rPr>
        <w:b/>
        <w:sz w:val="18"/>
      </w:rPr>
    </w:pPr>
    <w:r>
      <w:rPr>
        <w:b/>
        <w:sz w:val="18"/>
      </w:rPr>
      <w:t>KP-611-363-ARiMR/1/z</w:t>
    </w:r>
  </w:p>
  <w:p w:rsidR="00A456E4" w:rsidRDefault="003B4F16" w:rsidP="00A456E4">
    <w:pPr>
      <w:pStyle w:val="Stopka"/>
      <w:pBdr>
        <w:top w:val="single" w:sz="4" w:space="1" w:color="auto"/>
      </w:pBdr>
      <w:tabs>
        <w:tab w:val="left" w:pos="708"/>
      </w:tabs>
      <w:jc w:val="center"/>
    </w:pPr>
    <w:r>
      <w:rPr>
        <w:sz w:val="18"/>
      </w:rPr>
      <w:t xml:space="preserve">Strona </w:t>
    </w:r>
    <w:r>
      <w:rPr>
        <w:sz w:val="18"/>
      </w:rPr>
      <w:t>3</w:t>
    </w:r>
    <w:r>
      <w:rPr>
        <w:sz w:val="18"/>
      </w:rPr>
      <w:t xml:space="preserve"> z </w:t>
    </w:r>
    <w:r>
      <w:rPr>
        <w:sz w:val="18"/>
      </w:rPr>
      <w:t>3</w:t>
    </w:r>
    <w:r>
      <w:rPr>
        <w:sz w:val="18"/>
      </w:rPr>
      <w:t>2</w:t>
    </w:r>
  </w:p>
  <w:p w:rsidR="009E41C3" w:rsidRDefault="003B4F1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1C3" w:rsidRDefault="003B4F16">
    <w:pPr>
      <w:pStyle w:val="Stopka"/>
      <w:framePr w:wrap="around" w:vAnchor="text" w:hAnchor="margin" w:xAlign="right" w:y="1"/>
      <w:rPr>
        <w:rStyle w:val="Numerstrony"/>
      </w:rPr>
    </w:pPr>
  </w:p>
  <w:tbl>
    <w:tblPr>
      <w:tblW w:w="0" w:type="auto"/>
      <w:tblBorders>
        <w:top w:val="single" w:sz="4" w:space="0" w:color="auto"/>
      </w:tblBorders>
      <w:tblCellMar>
        <w:left w:w="70" w:type="dxa"/>
        <w:right w:w="70" w:type="dxa"/>
      </w:tblCellMar>
      <w:tblLook w:val="0000"/>
    </w:tblPr>
    <w:tblGrid>
      <w:gridCol w:w="14104"/>
    </w:tblGrid>
    <w:tr w:rsidR="004076C2" w:rsidRPr="00D244F9" w:rsidTr="004076C2">
      <w:tc>
        <w:tcPr>
          <w:tcW w:w="14104" w:type="dxa"/>
          <w:tcBorders>
            <w:top w:val="single" w:sz="4" w:space="0" w:color="auto"/>
            <w:left w:val="nil"/>
            <w:bottom w:val="nil"/>
          </w:tcBorders>
        </w:tcPr>
        <w:p w:rsidR="004076C2" w:rsidRDefault="004076C2" w:rsidP="000800E9">
          <w:pPr>
            <w:pStyle w:val="Stopka"/>
            <w:pBdr>
              <w:top w:val="single" w:sz="4" w:space="1" w:color="auto"/>
            </w:pBdr>
            <w:tabs>
              <w:tab w:val="left" w:pos="708"/>
            </w:tabs>
            <w:jc w:val="center"/>
            <w:rPr>
              <w:b/>
              <w:sz w:val="18"/>
            </w:rPr>
          </w:pPr>
          <w:r>
            <w:rPr>
              <w:b/>
              <w:sz w:val="18"/>
            </w:rPr>
            <w:t>KP-611-363-ARiMR/1/z</w:t>
          </w:r>
        </w:p>
        <w:p w:rsidR="004076C2" w:rsidRDefault="004076C2" w:rsidP="000800E9">
          <w:pPr>
            <w:pStyle w:val="Stopka"/>
            <w:pBdr>
              <w:top w:val="single" w:sz="4" w:space="1" w:color="auto"/>
            </w:pBdr>
            <w:tabs>
              <w:tab w:val="left" w:pos="708"/>
            </w:tabs>
            <w:jc w:val="center"/>
          </w:pPr>
          <w:r>
            <w:rPr>
              <w:sz w:val="18"/>
            </w:rPr>
            <w:t xml:space="preserve">Strona </w:t>
          </w:r>
          <w:r>
            <w:rPr>
              <w:rStyle w:val="Numerstrony"/>
            </w:rPr>
            <w:fldChar w:fldCharType="begin"/>
          </w:r>
          <w:r>
            <w:rPr>
              <w:rStyle w:val="Numerstrony"/>
            </w:rPr>
            <w:instrText xml:space="preserve"> PAGE </w:instrText>
          </w:r>
          <w:r>
            <w:rPr>
              <w:rStyle w:val="Numerstrony"/>
            </w:rPr>
            <w:fldChar w:fldCharType="separate"/>
          </w:r>
          <w:r w:rsidR="00985555">
            <w:rPr>
              <w:rStyle w:val="Numerstrony"/>
              <w:noProof/>
            </w:rPr>
            <w:t>13</w:t>
          </w:r>
          <w:r>
            <w:rPr>
              <w:rStyle w:val="Numerstrony"/>
            </w:rPr>
            <w:fldChar w:fldCharType="end"/>
          </w:r>
          <w:r>
            <w:rPr>
              <w:sz w:val="18"/>
            </w:rPr>
            <w:t xml:space="preserve"> z </w:t>
          </w:r>
          <w:r>
            <w:rPr>
              <w:rStyle w:val="Numerstrony"/>
            </w:rPr>
            <w:fldChar w:fldCharType="begin"/>
          </w:r>
          <w:r>
            <w:rPr>
              <w:rStyle w:val="Numerstrony"/>
            </w:rPr>
            <w:instrText xml:space="preserve"> NUMPAGES </w:instrText>
          </w:r>
          <w:r>
            <w:rPr>
              <w:rStyle w:val="Numerstrony"/>
            </w:rPr>
            <w:fldChar w:fldCharType="separate"/>
          </w:r>
          <w:r w:rsidR="00985555">
            <w:rPr>
              <w:rStyle w:val="Numerstrony"/>
              <w:noProof/>
            </w:rPr>
            <w:t>13</w:t>
          </w:r>
          <w:r>
            <w:rPr>
              <w:rStyle w:val="Numerstrony"/>
            </w:rPr>
            <w:fldChar w:fldCharType="end"/>
          </w:r>
        </w:p>
        <w:p w:rsidR="004076C2" w:rsidRPr="00D244F9" w:rsidRDefault="004076C2" w:rsidP="000800E9">
          <w:pPr>
            <w:pStyle w:val="Stopka"/>
            <w:tabs>
              <w:tab w:val="clear" w:pos="4536"/>
            </w:tabs>
            <w:jc w:val="center"/>
            <w:rPr>
              <w:i/>
              <w:iCs/>
              <w:sz w:val="18"/>
              <w:szCs w:val="18"/>
            </w:rPr>
          </w:pPr>
        </w:p>
      </w:tc>
    </w:tr>
  </w:tbl>
  <w:p w:rsidR="009E41C3" w:rsidRDefault="003B4F16" w:rsidP="00BE4951">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1C3" w:rsidRDefault="003B4F16">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F16" w:rsidRDefault="003B4F16" w:rsidP="004076C2">
      <w:pPr>
        <w:spacing w:before="0"/>
      </w:pPr>
      <w:r>
        <w:separator/>
      </w:r>
    </w:p>
  </w:footnote>
  <w:footnote w:type="continuationSeparator" w:id="0">
    <w:p w:rsidR="003B4F16" w:rsidRDefault="003B4F16" w:rsidP="004076C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E51B04"/>
    <w:multiLevelType w:val="hybridMultilevel"/>
    <w:tmpl w:val="4CFA89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64D87B30"/>
    <w:multiLevelType w:val="multilevel"/>
    <w:tmpl w:val="C206F8CE"/>
    <w:lvl w:ilvl="0">
      <w:start w:val="1"/>
      <w:numFmt w:val="decimal"/>
      <w:suff w:val="space"/>
      <w:lvlText w:val="%1."/>
      <w:lvlJc w:val="left"/>
      <w:pPr>
        <w:ind w:left="360" w:hanging="360"/>
      </w:pPr>
      <w:rPr>
        <w:rFonts w:ascii="Times New Roman" w:hAnsi="Times New Roman" w:hint="default"/>
        <w:b w:val="0"/>
        <w:i w:val="0"/>
        <w:sz w:val="24"/>
        <w:szCs w:val="24"/>
      </w:rPr>
    </w:lvl>
    <w:lvl w:ilvl="1">
      <w:start w:val="1"/>
      <w:numFmt w:val="decimal"/>
      <w:suff w:val="space"/>
      <w:lvlText w:val="%1.%2."/>
      <w:lvlJc w:val="left"/>
      <w:pPr>
        <w:ind w:left="1391" w:hanging="851"/>
      </w:pPr>
      <w:rPr>
        <w:rFonts w:ascii="Times New Roman" w:hAnsi="Times New Roman" w:hint="default"/>
        <w:b w:val="0"/>
        <w:i w:val="0"/>
        <w:sz w:val="26"/>
        <w:szCs w:val="26"/>
      </w:rPr>
    </w:lvl>
    <w:lvl w:ilvl="2">
      <w:start w:val="1"/>
      <w:numFmt w:val="decimal"/>
      <w:suff w:val="space"/>
      <w:lvlText w:val="%1.%2.%3."/>
      <w:lvlJc w:val="left"/>
      <w:pPr>
        <w:ind w:left="1224" w:hanging="504"/>
      </w:pPr>
      <w:rPr>
        <w:rFonts w:ascii="Times New Roman" w:hAnsi="Times New Roman" w:hint="default"/>
        <w:b w:val="0"/>
        <w:i w:val="0"/>
        <w:sz w:val="26"/>
      </w:rPr>
    </w:lvl>
    <w:lvl w:ilvl="3">
      <w:start w:val="1"/>
      <w:numFmt w:val="decimal"/>
      <w:suff w:val="space"/>
      <w:lvlText w:val="%1.%2.%3.%4."/>
      <w:lvlJc w:val="left"/>
      <w:pPr>
        <w:ind w:left="1925"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FFFFFF"/>
        <w:spacing w:val="0"/>
        <w:kern w:val="0"/>
        <w:position w:val="0"/>
        <w:u w:val="none"/>
        <w:vertAlign w:val="baseline"/>
        <w:em w:val="none"/>
      </w:rPr>
    </w:lvl>
    <w:lvl w:ilvl="4">
      <w:start w:val="1"/>
      <w:numFmt w:val="decimal"/>
      <w:suff w:val="space"/>
      <w:lvlText w:val="%1.%2.%3.%4.%5."/>
      <w:lvlJc w:val="left"/>
      <w:pPr>
        <w:ind w:left="2952" w:hanging="792"/>
      </w:pPr>
      <w:rPr>
        <w:rFonts w:hint="default"/>
      </w:rPr>
    </w:lvl>
    <w:lvl w:ilvl="5">
      <w:start w:val="1"/>
      <w:numFmt w:val="decimal"/>
      <w:suff w:val="space"/>
      <w:lvlText w:val="%1.%2.%3.%4.%5.%6."/>
      <w:lvlJc w:val="left"/>
      <w:pPr>
        <w:ind w:left="2736" w:hanging="936"/>
      </w:pPr>
      <w:rPr>
        <w:rFonts w:hint="default"/>
      </w:rPr>
    </w:lvl>
    <w:lvl w:ilvl="6">
      <w:start w:val="1"/>
      <w:numFmt w:val="decimal"/>
      <w:suff w:val="space"/>
      <w:lvlText w:val="%1.%2.%3.%4.%5.%6.%7."/>
      <w:lvlJc w:val="left"/>
      <w:pPr>
        <w:ind w:left="3240" w:hanging="1080"/>
      </w:pPr>
      <w:rPr>
        <w:rFonts w:hint="default"/>
      </w:rPr>
    </w:lvl>
    <w:lvl w:ilvl="7">
      <w:start w:val="1"/>
      <w:numFmt w:val="decimal"/>
      <w:suff w:val="space"/>
      <w:lvlText w:val="%1.%2.%3.%4.%5.%6.%7.%8."/>
      <w:lvlJc w:val="left"/>
      <w:pPr>
        <w:ind w:left="3744" w:hanging="1224"/>
      </w:pPr>
      <w:rPr>
        <w:rFonts w:hint="default"/>
      </w:rPr>
    </w:lvl>
    <w:lvl w:ilvl="8">
      <w:start w:val="1"/>
      <w:numFmt w:val="decimal"/>
      <w:suff w:val="space"/>
      <w:lvlText w:val="%1.%2.%3.%4.%5.%6.%7.%8.%9."/>
      <w:lvlJc w:val="left"/>
      <w:pPr>
        <w:ind w:left="4320" w:hanging="1440"/>
      </w:pPr>
      <w:rPr>
        <w:rFonts w:hint="default"/>
      </w:rPr>
    </w:lvl>
  </w:abstractNum>
  <w:abstractNum w:abstractNumId="2">
    <w:nsid w:val="7EBE0D1E"/>
    <w:multiLevelType w:val="hybridMultilevel"/>
    <w:tmpl w:val="7FCAE9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2"/>
  </w:num>
  <w:num w:numId="4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076C2"/>
    <w:rsid w:val="00042692"/>
    <w:rsid w:val="00066654"/>
    <w:rsid w:val="002549E0"/>
    <w:rsid w:val="00345031"/>
    <w:rsid w:val="003B4F16"/>
    <w:rsid w:val="003B54B0"/>
    <w:rsid w:val="003C5ECF"/>
    <w:rsid w:val="004076C2"/>
    <w:rsid w:val="004D507C"/>
    <w:rsid w:val="005D5F29"/>
    <w:rsid w:val="006A5355"/>
    <w:rsid w:val="0078009D"/>
    <w:rsid w:val="00795E06"/>
    <w:rsid w:val="007B28CB"/>
    <w:rsid w:val="007D792E"/>
    <w:rsid w:val="0092349B"/>
    <w:rsid w:val="00924760"/>
    <w:rsid w:val="00955674"/>
    <w:rsid w:val="00985555"/>
    <w:rsid w:val="00A50173"/>
    <w:rsid w:val="00C22021"/>
    <w:rsid w:val="00CF3EA0"/>
    <w:rsid w:val="00D32B47"/>
    <w:rsid w:val="00E75469"/>
    <w:rsid w:val="00EC3BB8"/>
    <w:rsid w:val="00F03DEE"/>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4076C2"/>
    <w:pPr>
      <w:spacing w:before="240"/>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jc w:val="center"/>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Stopka">
    <w:name w:val="footer"/>
    <w:basedOn w:val="Normalny"/>
    <w:link w:val="StopkaZnak"/>
    <w:rsid w:val="004076C2"/>
    <w:pPr>
      <w:tabs>
        <w:tab w:val="center" w:pos="4536"/>
        <w:tab w:val="right" w:pos="9072"/>
      </w:tabs>
    </w:pPr>
    <w:rPr>
      <w:sz w:val="20"/>
    </w:rPr>
  </w:style>
  <w:style w:type="character" w:customStyle="1" w:styleId="StopkaZnak">
    <w:name w:val="Stopka Znak"/>
    <w:basedOn w:val="Domylnaczcionkaakapitu"/>
    <w:link w:val="Stopka"/>
    <w:rsid w:val="004076C2"/>
  </w:style>
  <w:style w:type="paragraph" w:styleId="Tekstpodstawowy">
    <w:name w:val="Body Text"/>
    <w:aliases w:val="(F2),A Body Text,Tekst podstawowy Znak Znak Znak Znak Znak,Tekst podstawowy Znak Znak Znak,Tekst podstawowy Znak Znak Znak Znak Znak Znak,Tekst podstawowy Znak Znak Znak Znak Znak Znak Znak,block style"/>
    <w:basedOn w:val="Normalny"/>
    <w:link w:val="TekstpodstawowyZnak1"/>
    <w:rsid w:val="004076C2"/>
    <w:pPr>
      <w:spacing w:after="120"/>
    </w:pPr>
  </w:style>
  <w:style w:type="character" w:customStyle="1" w:styleId="TekstpodstawowyZnak">
    <w:name w:val="Tekst podstawowy Znak"/>
    <w:basedOn w:val="Domylnaczcionkaakapitu"/>
    <w:link w:val="Tekstpodstawowy"/>
    <w:uiPriority w:val="99"/>
    <w:semiHidden/>
    <w:rsid w:val="004076C2"/>
    <w:rPr>
      <w:sz w:val="24"/>
    </w:rPr>
  </w:style>
  <w:style w:type="character" w:customStyle="1" w:styleId="TekstpodstawowyZnak1">
    <w:name w:val="Tekst podstawowy Znak1"/>
    <w:aliases w:val="(F2) Znak,A Body Text Znak,Tekst podstawowy Znak Znak Znak Znak Znak Znak1,Tekst podstawowy Znak Znak Znak Znak,Tekst podstawowy Znak Znak Znak Znak Znak Znak Znak1,Tekst podstawowy Znak Znak Znak Znak Znak Znak Znak Znak"/>
    <w:basedOn w:val="Domylnaczcionkaakapitu"/>
    <w:link w:val="Tekstpodstawowy"/>
    <w:rsid w:val="004076C2"/>
    <w:rPr>
      <w:sz w:val="24"/>
    </w:rPr>
  </w:style>
  <w:style w:type="character" w:styleId="Numerstrony">
    <w:name w:val="page number"/>
    <w:basedOn w:val="Domylnaczcionkaakapitu"/>
    <w:rsid w:val="004076C2"/>
  </w:style>
  <w:style w:type="paragraph" w:customStyle="1" w:styleId="ZnakZnakZnak">
    <w:name w:val="Znak Znak Znak"/>
    <w:basedOn w:val="Normalny"/>
    <w:rsid w:val="004076C2"/>
    <w:pPr>
      <w:spacing w:before="0"/>
    </w:pPr>
    <w:rPr>
      <w:szCs w:val="24"/>
    </w:rPr>
  </w:style>
  <w:style w:type="paragraph" w:styleId="NormalnyWeb">
    <w:name w:val="Normal (Web)"/>
    <w:aliases w:val="Normalny (Web) Znak,Normalny (Web) Znak1 Znak,Normalny (Web) Znak Znak1 Znak"/>
    <w:basedOn w:val="Normalny"/>
    <w:uiPriority w:val="99"/>
    <w:rsid w:val="004076C2"/>
    <w:pPr>
      <w:spacing w:before="100" w:after="100"/>
    </w:pPr>
  </w:style>
  <w:style w:type="paragraph" w:styleId="Nagwek">
    <w:name w:val="header"/>
    <w:basedOn w:val="Normalny"/>
    <w:link w:val="NagwekZnak"/>
    <w:uiPriority w:val="99"/>
    <w:semiHidden/>
    <w:unhideWhenUsed/>
    <w:rsid w:val="004076C2"/>
    <w:pPr>
      <w:tabs>
        <w:tab w:val="center" w:pos="4536"/>
        <w:tab w:val="right" w:pos="9072"/>
      </w:tabs>
      <w:spacing w:before="0"/>
    </w:pPr>
  </w:style>
  <w:style w:type="character" w:customStyle="1" w:styleId="NagwekZnak">
    <w:name w:val="Nagłówek Znak"/>
    <w:basedOn w:val="Domylnaczcionkaakapitu"/>
    <w:link w:val="Nagwek"/>
    <w:uiPriority w:val="99"/>
    <w:semiHidden/>
    <w:rsid w:val="004076C2"/>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2603</Words>
  <Characters>15621</Characters>
  <Application>Microsoft Office Word</Application>
  <DocSecurity>0</DocSecurity>
  <Lines>130</Lines>
  <Paragraphs>36</Paragraphs>
  <ScaleCrop>false</ScaleCrop>
  <Company>ARiMR</Company>
  <LinksUpToDate>false</LinksUpToDate>
  <CharactersWithSpaces>18188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2</cp:revision>
  <cp:lastPrinted>2015-07-07T08:39:00Z</cp:lastPrinted>
  <dcterms:created xsi:type="dcterms:W3CDTF">2015-07-07T08:36:00Z</dcterms:created>
  <dcterms:modified xsi:type="dcterms:W3CDTF">2015-07-07T08:41:00Z</dcterms:modified>
</cp:coreProperties>
</file>