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44" w:rsidRPr="005347E1" w:rsidRDefault="00472E44" w:rsidP="00472E44">
      <w:pPr>
        <w:rPr>
          <w:sz w:val="28"/>
          <w:szCs w:val="28"/>
        </w:rPr>
      </w:pPr>
      <w:r w:rsidRPr="005347E1">
        <w:rPr>
          <w:sz w:val="28"/>
          <w:szCs w:val="28"/>
        </w:rPr>
        <w:t>3.2</w:t>
      </w:r>
      <w:r>
        <w:rPr>
          <w:sz w:val="28"/>
          <w:szCs w:val="28"/>
        </w:rPr>
        <w:t>1</w:t>
      </w:r>
      <w:r w:rsidRPr="005347E1">
        <w:rPr>
          <w:sz w:val="28"/>
          <w:szCs w:val="28"/>
        </w:rPr>
        <w:t xml:space="preserve">. Instrukcja wypełniania dokumentu zgłoszenia należności ZW-1/12 </w:t>
      </w:r>
      <w:r w:rsidRPr="005347E1">
        <w:rPr>
          <w:sz w:val="28"/>
          <w:szCs w:val="28"/>
        </w:rPr>
        <w:br/>
        <w:t>(I-</w:t>
      </w:r>
      <w:r>
        <w:rPr>
          <w:sz w:val="28"/>
          <w:szCs w:val="28"/>
        </w:rPr>
        <w:t>5</w:t>
      </w:r>
      <w:r w:rsidRPr="005347E1">
        <w:rPr>
          <w:sz w:val="28"/>
          <w:szCs w:val="28"/>
        </w:rPr>
        <w:t>/</w:t>
      </w:r>
      <w:r>
        <w:rPr>
          <w:sz w:val="28"/>
          <w:szCs w:val="28"/>
        </w:rPr>
        <w:t>363</w:t>
      </w:r>
      <w:r w:rsidRPr="005347E1">
        <w:rPr>
          <w:sz w:val="28"/>
          <w:szCs w:val="28"/>
        </w:rPr>
        <w:t>)</w:t>
      </w:r>
    </w:p>
    <w:p w:rsidR="00117B5B" w:rsidRDefault="00FB50D3">
      <w:pPr>
        <w:rPr>
          <w:b/>
        </w:rPr>
      </w:pPr>
      <w:r>
        <w:rPr>
          <w:b/>
          <w:sz w:val="28"/>
          <w:szCs w:val="28"/>
        </w:rPr>
        <w:t xml:space="preserve"> </w:t>
      </w:r>
    </w:p>
    <w:p w:rsidR="0080179D" w:rsidRPr="0028071F" w:rsidRDefault="0080179D" w:rsidP="0080179D">
      <w:pPr>
        <w:rPr>
          <w:b/>
          <w:sz w:val="22"/>
          <w:szCs w:val="22"/>
        </w:rPr>
      </w:pPr>
      <w:r w:rsidRPr="0028071F">
        <w:rPr>
          <w:b/>
          <w:sz w:val="22"/>
          <w:szCs w:val="22"/>
        </w:rPr>
        <w:t>Zasady ogólne:</w:t>
      </w:r>
    </w:p>
    <w:p w:rsidR="0080179D" w:rsidRPr="0028071F" w:rsidRDefault="0080179D" w:rsidP="00682910">
      <w:pPr>
        <w:pStyle w:val="Akapitzlist"/>
        <w:ind w:left="141"/>
        <w:jc w:val="both"/>
        <w:rPr>
          <w:color w:val="000000"/>
          <w:sz w:val="22"/>
          <w:szCs w:val="22"/>
        </w:rPr>
      </w:pPr>
    </w:p>
    <w:p w:rsidR="00682910" w:rsidRDefault="00682910" w:rsidP="00682910">
      <w:pPr>
        <w:pStyle w:val="Akapitzlist"/>
        <w:ind w:left="141"/>
        <w:jc w:val="both"/>
        <w:rPr>
          <w:color w:val="000000"/>
          <w:sz w:val="22"/>
          <w:szCs w:val="22"/>
        </w:rPr>
      </w:pPr>
      <w:r w:rsidRPr="0028071F">
        <w:rPr>
          <w:color w:val="000000"/>
          <w:sz w:val="22"/>
          <w:szCs w:val="22"/>
        </w:rPr>
        <w:t xml:space="preserve">Dokument </w:t>
      </w:r>
      <w:r w:rsidR="005C7D3B">
        <w:rPr>
          <w:color w:val="000000"/>
          <w:sz w:val="22"/>
          <w:szCs w:val="22"/>
        </w:rPr>
        <w:t xml:space="preserve">zgłoszenia należności </w:t>
      </w:r>
      <w:r w:rsidRPr="0028071F">
        <w:rPr>
          <w:color w:val="000000"/>
          <w:sz w:val="22"/>
          <w:szCs w:val="22"/>
        </w:rPr>
        <w:t>ZW-1/12, po ustaleniu kwot nienależnie</w:t>
      </w:r>
      <w:r w:rsidR="004D4291">
        <w:rPr>
          <w:color w:val="000000"/>
          <w:sz w:val="22"/>
          <w:szCs w:val="22"/>
        </w:rPr>
        <w:t>,</w:t>
      </w:r>
      <w:r w:rsidRPr="0028071F">
        <w:rPr>
          <w:color w:val="000000"/>
          <w:sz w:val="22"/>
          <w:szCs w:val="22"/>
        </w:rPr>
        <w:t xml:space="preserve"> nadmiernie pobranych środków publicznych, winien zostać wystawiony zarówno, gdy beneficjent zwrócił środki, jak również w przypadku</w:t>
      </w:r>
      <w:r w:rsidR="00AF1142">
        <w:rPr>
          <w:color w:val="000000"/>
          <w:sz w:val="22"/>
          <w:szCs w:val="22"/>
        </w:rPr>
        <w:t>,</w:t>
      </w:r>
      <w:r w:rsidRPr="0028071F">
        <w:rPr>
          <w:color w:val="000000"/>
          <w:sz w:val="22"/>
          <w:szCs w:val="22"/>
        </w:rPr>
        <w:t xml:space="preserve"> gdy beneficjent nie dokonał wymaganego zwrotu środków.</w:t>
      </w:r>
    </w:p>
    <w:p w:rsidR="00682910" w:rsidRDefault="00682910" w:rsidP="00682910">
      <w:pPr>
        <w:pStyle w:val="Akapitzlist"/>
        <w:ind w:left="141"/>
        <w:jc w:val="both"/>
        <w:rPr>
          <w:color w:val="000000"/>
          <w:sz w:val="22"/>
          <w:szCs w:val="22"/>
        </w:rPr>
      </w:pPr>
      <w:r w:rsidRPr="0028071F">
        <w:rPr>
          <w:color w:val="000000"/>
          <w:sz w:val="22"/>
          <w:szCs w:val="22"/>
        </w:rPr>
        <w:t xml:space="preserve">Dokument </w:t>
      </w:r>
      <w:r w:rsidR="001A608F">
        <w:rPr>
          <w:color w:val="000000"/>
          <w:sz w:val="22"/>
          <w:szCs w:val="22"/>
        </w:rPr>
        <w:t xml:space="preserve">zgłoszenia należności </w:t>
      </w:r>
      <w:r w:rsidRPr="0028071F">
        <w:rPr>
          <w:color w:val="000000"/>
          <w:sz w:val="22"/>
          <w:szCs w:val="22"/>
        </w:rPr>
        <w:t xml:space="preserve">ZW-1/12 </w:t>
      </w:r>
      <w:r w:rsidR="00FD158A">
        <w:rPr>
          <w:color w:val="000000"/>
          <w:sz w:val="22"/>
          <w:szCs w:val="22"/>
        </w:rPr>
        <w:t>winien być kompletny i wskazywać</w:t>
      </w:r>
      <w:r w:rsidR="00E13B73">
        <w:rPr>
          <w:color w:val="000000"/>
          <w:sz w:val="22"/>
          <w:szCs w:val="22"/>
        </w:rPr>
        <w:t xml:space="preserve"> </w:t>
      </w:r>
      <w:r w:rsidR="00FD158A">
        <w:rPr>
          <w:color w:val="000000"/>
          <w:sz w:val="22"/>
          <w:szCs w:val="22"/>
        </w:rPr>
        <w:t xml:space="preserve">podstawę prawną, </w:t>
      </w:r>
      <w:r w:rsidR="001A608F">
        <w:rPr>
          <w:color w:val="000000"/>
          <w:sz w:val="22"/>
          <w:szCs w:val="22"/>
        </w:rPr>
        <w:br/>
      </w:r>
      <w:r w:rsidRPr="0028071F">
        <w:rPr>
          <w:color w:val="000000"/>
          <w:sz w:val="22"/>
          <w:szCs w:val="22"/>
        </w:rPr>
        <w:t>z któr</w:t>
      </w:r>
      <w:r w:rsidR="00FD158A">
        <w:rPr>
          <w:color w:val="000000"/>
          <w:sz w:val="22"/>
          <w:szCs w:val="22"/>
        </w:rPr>
        <w:t>ej</w:t>
      </w:r>
      <w:r w:rsidRPr="0028071F">
        <w:rPr>
          <w:color w:val="000000"/>
          <w:sz w:val="22"/>
          <w:szCs w:val="22"/>
        </w:rPr>
        <w:t xml:space="preserve"> wynika obowiązek zwrotu wypłaconej kwoty pomocy</w:t>
      </w:r>
      <w:r w:rsidR="00AE4113">
        <w:rPr>
          <w:color w:val="000000"/>
          <w:sz w:val="22"/>
          <w:szCs w:val="22"/>
        </w:rPr>
        <w:t>, wyprzedzającego</w:t>
      </w:r>
      <w:r w:rsidR="00327E2F">
        <w:rPr>
          <w:color w:val="000000"/>
          <w:sz w:val="22"/>
          <w:szCs w:val="22"/>
        </w:rPr>
        <w:t xml:space="preserve"> </w:t>
      </w:r>
      <w:r w:rsidR="00AE4113">
        <w:rPr>
          <w:color w:val="000000"/>
          <w:sz w:val="22"/>
          <w:szCs w:val="22"/>
        </w:rPr>
        <w:t>finansowania/zaliczki</w:t>
      </w:r>
      <w:r w:rsidRPr="0028071F">
        <w:rPr>
          <w:color w:val="000000"/>
          <w:sz w:val="22"/>
          <w:szCs w:val="22"/>
        </w:rPr>
        <w:t>.</w:t>
      </w:r>
    </w:p>
    <w:p w:rsidR="005C7D3B" w:rsidRDefault="005C7D3B" w:rsidP="00682910">
      <w:pPr>
        <w:pStyle w:val="Akapitzlist"/>
        <w:ind w:left="141"/>
        <w:jc w:val="both"/>
        <w:rPr>
          <w:color w:val="000000"/>
          <w:sz w:val="22"/>
          <w:szCs w:val="22"/>
        </w:rPr>
      </w:pPr>
    </w:p>
    <w:p w:rsidR="005C7D3B" w:rsidRPr="0090568A" w:rsidRDefault="008A60EB" w:rsidP="00557CCE">
      <w:pPr>
        <w:ind w:left="141"/>
        <w:jc w:val="both"/>
        <w:rPr>
          <w:color w:val="000000"/>
          <w:sz w:val="22"/>
          <w:szCs w:val="22"/>
        </w:rPr>
      </w:pPr>
      <w:r w:rsidRPr="0090568A">
        <w:rPr>
          <w:color w:val="000000"/>
          <w:sz w:val="22"/>
          <w:szCs w:val="22"/>
        </w:rPr>
        <w:t xml:space="preserve">W przypadku </w:t>
      </w:r>
      <w:r w:rsidR="005777D2" w:rsidRPr="0090568A">
        <w:rPr>
          <w:color w:val="000000"/>
          <w:sz w:val="22"/>
          <w:szCs w:val="22"/>
        </w:rPr>
        <w:t xml:space="preserve">dochodzenia należności ustalonych </w:t>
      </w:r>
      <w:r w:rsidR="005777D2" w:rsidRPr="0090568A">
        <w:rPr>
          <w:b/>
          <w:color w:val="000000"/>
          <w:sz w:val="22"/>
          <w:szCs w:val="22"/>
        </w:rPr>
        <w:t>w trybie cywilno-prawnym</w:t>
      </w:r>
      <w:r w:rsidR="005777D2" w:rsidRPr="0090568A">
        <w:rPr>
          <w:color w:val="000000"/>
          <w:sz w:val="22"/>
          <w:szCs w:val="22"/>
        </w:rPr>
        <w:t>, d</w:t>
      </w:r>
      <w:r w:rsidR="005C7D3B" w:rsidRPr="0090568A">
        <w:rPr>
          <w:color w:val="000000"/>
          <w:sz w:val="22"/>
          <w:szCs w:val="22"/>
        </w:rPr>
        <w:t xml:space="preserve">okument zgłoszenia należności ZW-1/12 należy </w:t>
      </w:r>
      <w:r w:rsidR="00B0460A" w:rsidRPr="0090568A">
        <w:rPr>
          <w:color w:val="000000"/>
          <w:sz w:val="22"/>
          <w:szCs w:val="22"/>
        </w:rPr>
        <w:t>przekazać do DDD ARiMR</w:t>
      </w:r>
      <w:r w:rsidR="00557CCE" w:rsidRPr="0090568A">
        <w:rPr>
          <w:color w:val="000000"/>
          <w:sz w:val="22"/>
          <w:szCs w:val="22"/>
        </w:rPr>
        <w:t xml:space="preserve"> </w:t>
      </w:r>
      <w:r w:rsidR="00B75772" w:rsidRPr="0090568A">
        <w:rPr>
          <w:color w:val="000000"/>
          <w:sz w:val="22"/>
          <w:szCs w:val="22"/>
        </w:rPr>
        <w:t xml:space="preserve">w terminie 7 dni od </w:t>
      </w:r>
      <w:r w:rsidR="00557CCE" w:rsidRPr="0090568A">
        <w:rPr>
          <w:color w:val="000000"/>
          <w:sz w:val="22"/>
          <w:szCs w:val="22"/>
        </w:rPr>
        <w:t xml:space="preserve">otrzymania informacji </w:t>
      </w:r>
      <w:r w:rsidR="002A011D" w:rsidRPr="0090568A">
        <w:rPr>
          <w:color w:val="000000"/>
          <w:sz w:val="22"/>
          <w:szCs w:val="22"/>
        </w:rPr>
        <w:br/>
      </w:r>
      <w:r w:rsidR="00557CCE" w:rsidRPr="0090568A">
        <w:rPr>
          <w:color w:val="000000"/>
          <w:sz w:val="22"/>
          <w:szCs w:val="22"/>
        </w:rPr>
        <w:t xml:space="preserve">o doręczeniu </w:t>
      </w:r>
      <w:r w:rsidR="00060BBE">
        <w:rPr>
          <w:color w:val="000000"/>
          <w:sz w:val="22"/>
          <w:szCs w:val="22"/>
        </w:rPr>
        <w:t xml:space="preserve">beneficjentowi </w:t>
      </w:r>
      <w:r w:rsidR="00557CCE" w:rsidRPr="0090568A">
        <w:rPr>
          <w:color w:val="000000"/>
          <w:sz w:val="22"/>
          <w:szCs w:val="22"/>
        </w:rPr>
        <w:t xml:space="preserve">pisma w sprawie konieczności </w:t>
      </w:r>
      <w:r w:rsidR="00B75772" w:rsidRPr="0090568A">
        <w:rPr>
          <w:color w:val="000000"/>
          <w:sz w:val="22"/>
          <w:szCs w:val="22"/>
        </w:rPr>
        <w:t>zwrotu nienależnie</w:t>
      </w:r>
      <w:r w:rsidR="004D4291" w:rsidRPr="0090568A">
        <w:rPr>
          <w:color w:val="000000"/>
          <w:sz w:val="22"/>
          <w:szCs w:val="22"/>
        </w:rPr>
        <w:t>,</w:t>
      </w:r>
      <w:r w:rsidR="00B75772" w:rsidRPr="0090568A">
        <w:rPr>
          <w:color w:val="000000"/>
          <w:sz w:val="22"/>
          <w:szCs w:val="22"/>
        </w:rPr>
        <w:t xml:space="preserve"> nadmierni</w:t>
      </w:r>
      <w:r w:rsidR="00557CCE" w:rsidRPr="0090568A">
        <w:rPr>
          <w:color w:val="000000"/>
          <w:sz w:val="22"/>
          <w:szCs w:val="22"/>
        </w:rPr>
        <w:t>e pobranych środków publicznych</w:t>
      </w:r>
      <w:r w:rsidR="002A011D" w:rsidRPr="0090568A">
        <w:rPr>
          <w:color w:val="000000"/>
          <w:sz w:val="22"/>
          <w:szCs w:val="22"/>
        </w:rPr>
        <w:t xml:space="preserve"> (dla spraw windykacyjnych) lub w terminie 7 dni od powzięcia informacji o dokonaniu przez beneficjenta zwrotu środków</w:t>
      </w:r>
      <w:r w:rsidR="00D26E56">
        <w:rPr>
          <w:color w:val="000000"/>
          <w:sz w:val="22"/>
          <w:szCs w:val="22"/>
        </w:rPr>
        <w:t>, po ustaleniu wysokości kwoty należności do zwrotu</w:t>
      </w:r>
      <w:r w:rsidR="00557CCE" w:rsidRPr="0090568A">
        <w:rPr>
          <w:color w:val="000000"/>
          <w:sz w:val="22"/>
          <w:szCs w:val="22"/>
        </w:rPr>
        <w:t>.</w:t>
      </w:r>
    </w:p>
    <w:p w:rsidR="005C7D3B" w:rsidRPr="0090568A" w:rsidRDefault="005C7D3B" w:rsidP="00E41239">
      <w:pPr>
        <w:pStyle w:val="Akapitzlist"/>
        <w:ind w:left="861"/>
        <w:jc w:val="both"/>
        <w:rPr>
          <w:color w:val="000000"/>
          <w:sz w:val="22"/>
          <w:szCs w:val="22"/>
        </w:rPr>
      </w:pPr>
    </w:p>
    <w:p w:rsidR="00557CCE" w:rsidRPr="0090568A" w:rsidRDefault="00557CCE" w:rsidP="00557CCE">
      <w:pPr>
        <w:pStyle w:val="Akapitzlist"/>
        <w:ind w:left="141"/>
        <w:jc w:val="both"/>
        <w:rPr>
          <w:color w:val="000000"/>
          <w:sz w:val="22"/>
          <w:szCs w:val="22"/>
        </w:rPr>
      </w:pPr>
      <w:r w:rsidRPr="0090568A">
        <w:rPr>
          <w:color w:val="000000"/>
          <w:sz w:val="22"/>
          <w:szCs w:val="22"/>
        </w:rPr>
        <w:t xml:space="preserve">W przypadku dochodzenia należności ustalonych w trybie cywilno-prawnym, </w:t>
      </w:r>
      <w:r w:rsidRPr="0034533C">
        <w:rPr>
          <w:color w:val="000000"/>
          <w:sz w:val="22"/>
          <w:szCs w:val="22"/>
          <w:u w:val="single"/>
        </w:rPr>
        <w:t>dokument korygujący</w:t>
      </w:r>
      <w:r w:rsidRPr="0090568A">
        <w:rPr>
          <w:color w:val="000000"/>
          <w:sz w:val="22"/>
          <w:szCs w:val="22"/>
        </w:rPr>
        <w:t xml:space="preserve"> zgłoszenie należności ZW-1/12 (jeżeli jest wymagany, tj.; jeśli w wyniku ostatecznego rozstrzygnięcia w sprawie nastąpi zmiana wysokości kwoty należności w odniesieniu do pierwotnie złożonego dokumentu ZW-1/12) dla spraw windykacyjnych, do których Beneficjent wniósł prośbę </w:t>
      </w:r>
      <w:r w:rsidR="002A011D" w:rsidRPr="0090568A">
        <w:rPr>
          <w:color w:val="000000"/>
          <w:sz w:val="22"/>
          <w:szCs w:val="22"/>
        </w:rPr>
        <w:br/>
      </w:r>
      <w:r w:rsidRPr="0090568A">
        <w:rPr>
          <w:color w:val="000000"/>
          <w:sz w:val="22"/>
          <w:szCs w:val="22"/>
        </w:rPr>
        <w:t>o ponowne rozpatrzenie sprawy, należy przekazać do DDD ARiMR</w:t>
      </w:r>
      <w:r w:rsidR="002A011D" w:rsidRPr="0090568A">
        <w:rPr>
          <w:color w:val="000000"/>
          <w:sz w:val="22"/>
          <w:szCs w:val="22"/>
        </w:rPr>
        <w:t xml:space="preserve"> </w:t>
      </w:r>
      <w:r w:rsidRPr="0090568A">
        <w:rPr>
          <w:color w:val="000000"/>
          <w:sz w:val="22"/>
          <w:szCs w:val="22"/>
        </w:rPr>
        <w:t>w terminie 7 dni od daty otrzymania opinii DDD ARiMR ostatecznie rozstrzygającej postępowanie.</w:t>
      </w:r>
    </w:p>
    <w:p w:rsidR="00557CCE" w:rsidRPr="0090568A" w:rsidRDefault="00557CCE" w:rsidP="005777D2">
      <w:pPr>
        <w:ind w:left="141"/>
        <w:jc w:val="both"/>
        <w:rPr>
          <w:color w:val="000000"/>
          <w:sz w:val="22"/>
          <w:szCs w:val="22"/>
        </w:rPr>
      </w:pPr>
    </w:p>
    <w:p w:rsidR="002A011D" w:rsidRPr="0090568A" w:rsidRDefault="005777D2" w:rsidP="002A011D">
      <w:pPr>
        <w:ind w:left="141"/>
        <w:jc w:val="both"/>
        <w:rPr>
          <w:color w:val="000000"/>
          <w:sz w:val="22"/>
          <w:szCs w:val="22"/>
        </w:rPr>
      </w:pPr>
      <w:r w:rsidRPr="0090568A">
        <w:rPr>
          <w:color w:val="000000"/>
          <w:sz w:val="22"/>
          <w:szCs w:val="22"/>
        </w:rPr>
        <w:t xml:space="preserve">W przypadku dochodzenia należności ustalonych </w:t>
      </w:r>
      <w:r w:rsidRPr="0090568A">
        <w:rPr>
          <w:b/>
          <w:color w:val="000000"/>
          <w:sz w:val="22"/>
          <w:szCs w:val="22"/>
        </w:rPr>
        <w:t>w trybie administracyjnym</w:t>
      </w:r>
      <w:r w:rsidRPr="0090568A">
        <w:rPr>
          <w:color w:val="000000"/>
          <w:sz w:val="22"/>
          <w:szCs w:val="22"/>
        </w:rPr>
        <w:t xml:space="preserve">, dokument zgłoszenia należności ZW-1/12 należy </w:t>
      </w:r>
      <w:r w:rsidR="00B0460A" w:rsidRPr="0090568A">
        <w:rPr>
          <w:color w:val="000000"/>
          <w:sz w:val="22"/>
          <w:szCs w:val="22"/>
        </w:rPr>
        <w:t xml:space="preserve">przekazać do DDD ARiMR </w:t>
      </w:r>
      <w:r w:rsidR="002A011D" w:rsidRPr="0090568A">
        <w:rPr>
          <w:color w:val="000000"/>
          <w:sz w:val="22"/>
          <w:szCs w:val="22"/>
        </w:rPr>
        <w:t xml:space="preserve">w terminie 7 dni od otrzymania informacji o doręczeniu </w:t>
      </w:r>
      <w:r w:rsidR="00336659" w:rsidRPr="0090568A">
        <w:rPr>
          <w:color w:val="000000"/>
          <w:sz w:val="22"/>
          <w:szCs w:val="22"/>
        </w:rPr>
        <w:t>decyzji o ustaleniu kwoty nienależnie</w:t>
      </w:r>
      <w:r w:rsidR="004D4291" w:rsidRPr="0090568A">
        <w:rPr>
          <w:color w:val="000000"/>
          <w:sz w:val="22"/>
          <w:szCs w:val="22"/>
        </w:rPr>
        <w:t xml:space="preserve">, </w:t>
      </w:r>
      <w:r w:rsidR="00336659" w:rsidRPr="0090568A">
        <w:rPr>
          <w:color w:val="000000"/>
          <w:sz w:val="22"/>
          <w:szCs w:val="22"/>
        </w:rPr>
        <w:t>nadmiernie pobranych środków publicznych</w:t>
      </w:r>
      <w:r w:rsidR="002A011D" w:rsidRPr="0090568A">
        <w:rPr>
          <w:color w:val="000000"/>
          <w:sz w:val="22"/>
          <w:szCs w:val="22"/>
        </w:rPr>
        <w:t xml:space="preserve">. W przypadku zwrotu przez beneficjenta nienależnie, nadmiernie pobranych środków publicznych przed wszczęciem postępowania w sprawie ustalenia kwot do zwrotu - w terminie 7 dni od </w:t>
      </w:r>
      <w:r w:rsidR="00FF0B89">
        <w:rPr>
          <w:color w:val="000000"/>
          <w:sz w:val="22"/>
          <w:szCs w:val="22"/>
        </w:rPr>
        <w:t xml:space="preserve"> dnia ustalenia nalezności</w:t>
      </w:r>
      <w:r w:rsidR="002A011D" w:rsidRPr="0090568A">
        <w:rPr>
          <w:color w:val="000000"/>
          <w:sz w:val="22"/>
          <w:szCs w:val="22"/>
        </w:rPr>
        <w:t>.</w:t>
      </w:r>
    </w:p>
    <w:p w:rsidR="002A011D" w:rsidRPr="0090568A" w:rsidRDefault="002A011D" w:rsidP="002A011D">
      <w:pPr>
        <w:ind w:left="141"/>
        <w:jc w:val="both"/>
        <w:rPr>
          <w:color w:val="000000"/>
          <w:sz w:val="22"/>
          <w:szCs w:val="22"/>
        </w:rPr>
      </w:pPr>
    </w:p>
    <w:p w:rsidR="002A011D" w:rsidRPr="009C1C5F" w:rsidRDefault="002A011D" w:rsidP="002A011D">
      <w:pPr>
        <w:pStyle w:val="Akapitzlist"/>
        <w:ind w:left="141"/>
        <w:jc w:val="both"/>
        <w:rPr>
          <w:color w:val="000000"/>
          <w:sz w:val="22"/>
          <w:szCs w:val="22"/>
        </w:rPr>
      </w:pPr>
      <w:r w:rsidRPr="0090568A">
        <w:rPr>
          <w:color w:val="000000"/>
          <w:sz w:val="22"/>
          <w:szCs w:val="22"/>
        </w:rPr>
        <w:t xml:space="preserve">W przypadku dochodzenia należności ustalonych w trybie administracyjnym, </w:t>
      </w:r>
      <w:r w:rsidRPr="0034533C">
        <w:rPr>
          <w:color w:val="000000"/>
          <w:sz w:val="22"/>
          <w:szCs w:val="22"/>
          <w:u w:val="single"/>
        </w:rPr>
        <w:t>dokument korygujący</w:t>
      </w:r>
      <w:r w:rsidRPr="0090568A">
        <w:rPr>
          <w:color w:val="000000"/>
          <w:sz w:val="22"/>
          <w:szCs w:val="22"/>
        </w:rPr>
        <w:t xml:space="preserve"> zgłoszenie należności ZW-1/12 (jeżeli jest wymagany</w:t>
      </w:r>
      <w:r w:rsidR="001148E1" w:rsidRPr="0090568A">
        <w:rPr>
          <w:color w:val="000000"/>
          <w:sz w:val="22"/>
          <w:szCs w:val="22"/>
        </w:rPr>
        <w:t xml:space="preserve">, tj.; jeśli w wyniku ostatecznego rozstrzygnięcia w sprawie nastąpi zmiana wysokości kwoty należności w odniesieniu do pierwotnie złożonego dokumentu ZW-1/12), wówczas </w:t>
      </w:r>
      <w:r w:rsidRPr="0090568A">
        <w:rPr>
          <w:color w:val="000000"/>
          <w:sz w:val="22"/>
          <w:szCs w:val="22"/>
        </w:rPr>
        <w:t>należy przekazać do DDD ARiMR</w:t>
      </w:r>
      <w:r w:rsidR="001148E1" w:rsidRPr="0090568A">
        <w:rPr>
          <w:color w:val="000000"/>
          <w:sz w:val="22"/>
          <w:szCs w:val="22"/>
        </w:rPr>
        <w:t xml:space="preserve">, </w:t>
      </w:r>
      <w:r w:rsidRPr="0090568A">
        <w:rPr>
          <w:color w:val="000000"/>
          <w:sz w:val="22"/>
          <w:szCs w:val="22"/>
        </w:rPr>
        <w:t>w przypadku wydania decyzji o ustaleniu kwoty nienależnie, nadmiernie pobranych środków publicznych, do której Beneficjent wniósł odwołanie, w terminie 7 dni od daty wydania rozstrzygnięcia tj. decyzji kończącej postępowanie.</w:t>
      </w:r>
    </w:p>
    <w:p w:rsidR="002726E8" w:rsidRDefault="002726E8" w:rsidP="002726E8">
      <w:pPr>
        <w:ind w:left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przypadku, gdy ARiMR dysponuje informacją, że beneficjent dokonał wpłaty na konto ARiMR, jednak nie wpłynęła dokumentacja ZW-1/12, wówczas niezwłocznie DDD informuje podmioty zewnętrzne o konieczności sporządzenia dokumętu ZW-1/12.</w:t>
      </w:r>
    </w:p>
    <w:p w:rsidR="002A011D" w:rsidRDefault="002A011D" w:rsidP="002A011D">
      <w:pPr>
        <w:ind w:left="141"/>
        <w:jc w:val="both"/>
        <w:rPr>
          <w:color w:val="000000"/>
          <w:sz w:val="22"/>
          <w:szCs w:val="22"/>
        </w:rPr>
      </w:pPr>
    </w:p>
    <w:p w:rsidR="0080179D" w:rsidRDefault="0080179D" w:rsidP="0080179D">
      <w:pPr>
        <w:rPr>
          <w:b/>
          <w:sz w:val="22"/>
          <w:szCs w:val="22"/>
        </w:rPr>
      </w:pPr>
      <w:r w:rsidRPr="0028071F">
        <w:rPr>
          <w:b/>
          <w:sz w:val="22"/>
          <w:szCs w:val="22"/>
        </w:rPr>
        <w:t>Zasady wypełniania dokumentu:</w:t>
      </w:r>
    </w:p>
    <w:p w:rsidR="00117B5B" w:rsidRPr="0028071F" w:rsidRDefault="00117B5B">
      <w:pPr>
        <w:rPr>
          <w:b/>
          <w:sz w:val="22"/>
          <w:szCs w:val="22"/>
        </w:rPr>
      </w:pPr>
    </w:p>
    <w:p w:rsidR="009733AA" w:rsidRPr="0028071F" w:rsidRDefault="009733AA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Nadanie numeru oraz daty sporządzenia dokumentu ZW-1/12:</w:t>
      </w:r>
    </w:p>
    <w:p w:rsidR="00826554" w:rsidRPr="002A6B46" w:rsidRDefault="00826554" w:rsidP="00826554">
      <w:pPr>
        <w:pStyle w:val="Akapitzlist"/>
        <w:ind w:left="141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Każdy dokument zgłoszenia należności winien</w:t>
      </w:r>
      <w:r w:rsidR="004247AD">
        <w:rPr>
          <w:color w:val="000000"/>
          <w:sz w:val="22"/>
          <w:szCs w:val="22"/>
        </w:rPr>
        <w:t xml:space="preserve"> być opatrzony odrębnym numerem, należy zastosować </w:t>
      </w:r>
      <w:r>
        <w:rPr>
          <w:color w:val="000000"/>
          <w:sz w:val="22"/>
          <w:szCs w:val="22"/>
        </w:rPr>
        <w:t xml:space="preserve"> następującą numerację w ramach danego podmiotu wdrażającego np.: </w:t>
      </w:r>
      <w:r w:rsidRPr="005429C4">
        <w:rPr>
          <w:b/>
          <w:color w:val="000000"/>
          <w:sz w:val="22"/>
          <w:szCs w:val="22"/>
        </w:rPr>
        <w:t>1/SW01/2013</w:t>
      </w:r>
      <w:r w:rsidR="00617EAE">
        <w:rPr>
          <w:color w:val="000000"/>
          <w:sz w:val="22"/>
          <w:szCs w:val="22"/>
        </w:rPr>
        <w:t xml:space="preserve">, </w:t>
      </w:r>
      <w:r w:rsidR="00617EAE" w:rsidRPr="002A6B46">
        <w:rPr>
          <w:sz w:val="22"/>
          <w:szCs w:val="22"/>
        </w:rPr>
        <w:t>gdzie „1” jest to kolejny numer dokumentu ZW-1/12, a „2013” jest to rok wystawienia dokumentu</w:t>
      </w:r>
      <w:r w:rsidR="00133A61" w:rsidRPr="002A6B46">
        <w:rPr>
          <w:sz w:val="22"/>
          <w:szCs w:val="22"/>
        </w:rPr>
        <w:t xml:space="preserve"> ZW-1/12.</w:t>
      </w:r>
    </w:p>
    <w:p w:rsidR="00617EAE" w:rsidRPr="002A6B46" w:rsidRDefault="00133A61" w:rsidP="00826554">
      <w:pPr>
        <w:pStyle w:val="Akapitzlist"/>
        <w:ind w:left="141"/>
        <w:jc w:val="both"/>
        <w:rPr>
          <w:sz w:val="22"/>
          <w:szCs w:val="22"/>
        </w:rPr>
      </w:pPr>
      <w:r w:rsidRPr="002A6B46">
        <w:rPr>
          <w:sz w:val="22"/>
          <w:szCs w:val="22"/>
        </w:rPr>
        <w:t>Nadawanie numerów korektom do dokumentów ZW-1/12:</w:t>
      </w:r>
    </w:p>
    <w:p w:rsidR="00133A61" w:rsidRPr="002A6B46" w:rsidRDefault="00133A61" w:rsidP="00826554">
      <w:pPr>
        <w:pStyle w:val="Akapitzlist"/>
        <w:ind w:left="141"/>
        <w:jc w:val="both"/>
        <w:rPr>
          <w:sz w:val="22"/>
          <w:szCs w:val="22"/>
        </w:rPr>
      </w:pPr>
      <w:r w:rsidRPr="002A6B46">
        <w:rPr>
          <w:sz w:val="22"/>
          <w:szCs w:val="22"/>
        </w:rPr>
        <w:t>Przykładowy numer korekty do dokumentu ZW-1/12 „1/UM01/2013/K1”, gdzie</w:t>
      </w:r>
      <w:r w:rsidR="00BD2418" w:rsidRPr="002A6B46">
        <w:rPr>
          <w:sz w:val="22"/>
          <w:szCs w:val="22"/>
        </w:rPr>
        <w:t xml:space="preserve"> pierwsze trzy składowe stanowią pierwotnie nadany numer dokumentu ZW-1/12, który jest korygowany. „K1” </w:t>
      </w:r>
      <w:r w:rsidR="00BD2418" w:rsidRPr="002A6B46">
        <w:rPr>
          <w:sz w:val="22"/>
          <w:szCs w:val="22"/>
        </w:rPr>
        <w:lastRenderedPageBreak/>
        <w:t>oznacza pierwszą korektę tego dokumentu, w przypadku kolejnych korekt, dokument ZW-1/12 należy numerować odpowiednio „K2”, „K3”</w:t>
      </w:r>
      <w:r w:rsidR="00EE39BB" w:rsidRPr="002A6B46">
        <w:rPr>
          <w:sz w:val="22"/>
          <w:szCs w:val="22"/>
        </w:rPr>
        <w:t>, np.: „1/UM01/2013/K2”, „1/UM01/2013/K3”. Korekcie podlega zawsze pierwotny dokument ZW-1</w:t>
      </w:r>
      <w:r w:rsidR="00AA3EC2" w:rsidRPr="002A6B46">
        <w:rPr>
          <w:sz w:val="22"/>
          <w:szCs w:val="22"/>
        </w:rPr>
        <w:t>/12.</w:t>
      </w:r>
    </w:p>
    <w:p w:rsidR="00EE2A50" w:rsidRPr="0028071F" w:rsidRDefault="00EE2A50" w:rsidP="00133A61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EE2A50" w:rsidRPr="0028071F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pod „Datą rejestracji w Księdze Dłużników” należy wpisać datę sporządzenia dokumentu ZW-1/12</w:t>
      </w:r>
      <w:r w:rsidR="009733AA" w:rsidRPr="0028071F">
        <w:rPr>
          <w:sz w:val="22"/>
          <w:szCs w:val="22"/>
        </w:rPr>
        <w:t>.</w:t>
      </w:r>
    </w:p>
    <w:p w:rsidR="009733AA" w:rsidRPr="0028071F" w:rsidRDefault="009733AA" w:rsidP="00D54177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EE67FA" w:rsidRPr="00EE67FA" w:rsidRDefault="00EE67FA" w:rsidP="00D54177">
      <w:pPr>
        <w:pStyle w:val="Akapitzlist"/>
        <w:numPr>
          <w:ilvl w:val="0"/>
          <w:numId w:val="10"/>
        </w:numPr>
        <w:spacing w:line="276" w:lineRule="auto"/>
        <w:jc w:val="both"/>
      </w:pPr>
      <w:r w:rsidRPr="00EE67FA">
        <w:t xml:space="preserve">W </w:t>
      </w:r>
      <w:r>
        <w:t>nagłó</w:t>
      </w:r>
      <w:r w:rsidRPr="00EE67FA">
        <w:t>wku dokumentu należy uzupełnić następujące dane</w:t>
      </w:r>
      <w:r>
        <w:t>: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18"/>
          <w:szCs w:val="18"/>
        </w:rPr>
      </w:pPr>
      <w:r w:rsidRPr="000669BE">
        <w:rPr>
          <w:b/>
          <w:sz w:val="18"/>
          <w:szCs w:val="18"/>
        </w:rPr>
        <w:t>Jednostka wdrażająca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Imię, Nazwisko/Nazwa beneficjenta</w:t>
      </w:r>
      <w:r w:rsidR="00EE67FA">
        <w:rPr>
          <w:b/>
          <w:sz w:val="18"/>
          <w:szCs w:val="18"/>
        </w:rPr>
        <w:t>;</w:t>
      </w:r>
    </w:p>
    <w:p w:rsidR="000669BE" w:rsidRPr="00EE67FA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Numer identyfikacyjny beneficjenta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  <w:lang w:val="en-US"/>
        </w:rPr>
        <w:t>NIP beneficjenta</w:t>
      </w:r>
      <w:r w:rsidR="00EE67FA">
        <w:rPr>
          <w:b/>
          <w:sz w:val="18"/>
          <w:szCs w:val="18"/>
          <w:lang w:val="en-US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  <w:lang w:val="en-US"/>
        </w:rPr>
        <w:t>Regon beneficjenta</w:t>
      </w:r>
      <w:r w:rsidR="00EE67FA">
        <w:rPr>
          <w:b/>
          <w:sz w:val="18"/>
          <w:szCs w:val="18"/>
          <w:lang w:val="en-US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PESEL beneficjenta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Rok budżetowy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Kod pomocy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Umowa/Decyzja</w:t>
      </w:r>
      <w:r w:rsidR="00EE67FA">
        <w:rPr>
          <w:b/>
          <w:sz w:val="18"/>
          <w:szCs w:val="18"/>
        </w:rPr>
        <w:t xml:space="preserve"> wraz z datą</w:t>
      </w:r>
      <w:r w:rsidR="00135316">
        <w:rPr>
          <w:b/>
          <w:sz w:val="18"/>
          <w:szCs w:val="18"/>
        </w:rPr>
        <w:t xml:space="preserve"> pierwotnie zawartej umowy;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Oś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Działanie</w:t>
      </w:r>
      <w:r w:rsidR="00EE67FA">
        <w:rPr>
          <w:b/>
          <w:sz w:val="18"/>
          <w:szCs w:val="18"/>
        </w:rPr>
        <w:t>;</w:t>
      </w:r>
    </w:p>
    <w:p w:rsidR="000669BE" w:rsidRP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>
        <w:rPr>
          <w:b/>
          <w:sz w:val="18"/>
          <w:szCs w:val="18"/>
        </w:rPr>
        <w:t>Rodzaj Pomocy – oś/Działanie/Schemat/Pakiet/Wariant</w:t>
      </w:r>
      <w:r w:rsidR="00EE67FA">
        <w:rPr>
          <w:b/>
          <w:sz w:val="18"/>
          <w:szCs w:val="18"/>
        </w:rPr>
        <w:t>;</w:t>
      </w:r>
    </w:p>
    <w:p w:rsidR="000669BE" w:rsidRDefault="000669BE" w:rsidP="00CE5691">
      <w:pPr>
        <w:pStyle w:val="Akapitzlist"/>
        <w:numPr>
          <w:ilvl w:val="0"/>
          <w:numId w:val="24"/>
        </w:numPr>
        <w:spacing w:line="276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Znak sprawy</w:t>
      </w:r>
      <w:r w:rsidR="00EE67FA">
        <w:rPr>
          <w:b/>
          <w:sz w:val="18"/>
          <w:szCs w:val="18"/>
        </w:rPr>
        <w:t>.</w:t>
      </w:r>
    </w:p>
    <w:p w:rsidR="00EE67FA" w:rsidRDefault="00EE67FA" w:rsidP="00EE67FA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1148E1" w:rsidRPr="000669BE" w:rsidRDefault="001148E1" w:rsidP="00EE67FA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EE2A50" w:rsidRDefault="00CE5691" w:rsidP="003A348B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przypadku n</w:t>
      </w:r>
      <w:r w:rsidR="009733AA" w:rsidRPr="0028071F">
        <w:rPr>
          <w:sz w:val="22"/>
          <w:szCs w:val="22"/>
        </w:rPr>
        <w:t>umer</w:t>
      </w:r>
      <w:r>
        <w:rPr>
          <w:sz w:val="22"/>
          <w:szCs w:val="22"/>
        </w:rPr>
        <w:t>u</w:t>
      </w:r>
      <w:r w:rsidR="009733AA" w:rsidRPr="0028071F">
        <w:rPr>
          <w:sz w:val="22"/>
          <w:szCs w:val="22"/>
        </w:rPr>
        <w:t xml:space="preserve"> i dat</w:t>
      </w:r>
      <w:r>
        <w:rPr>
          <w:sz w:val="22"/>
          <w:szCs w:val="22"/>
        </w:rPr>
        <w:t>y</w:t>
      </w:r>
      <w:r w:rsidR="009733AA" w:rsidRPr="002807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umowy o przyznanie pomocy </w:t>
      </w:r>
      <w:r w:rsidR="00FC14AE" w:rsidRPr="0028071F">
        <w:rPr>
          <w:sz w:val="22"/>
          <w:szCs w:val="22"/>
        </w:rPr>
        <w:t>należy wpisać tylko numer i datę umowy zawartej z beneficjentem. Nie wpisujemy nu</w:t>
      </w:r>
      <w:r>
        <w:rPr>
          <w:sz w:val="22"/>
          <w:szCs w:val="22"/>
        </w:rPr>
        <w:t>merów oraz  dat aneksów do umów.</w:t>
      </w:r>
      <w:r w:rsidR="003A348B">
        <w:rPr>
          <w:sz w:val="22"/>
          <w:szCs w:val="22"/>
        </w:rPr>
        <w:t xml:space="preserve"> Jeśli</w:t>
      </w:r>
      <w:r w:rsidR="00FC14AE" w:rsidRPr="0028071F">
        <w:rPr>
          <w:sz w:val="22"/>
          <w:szCs w:val="22"/>
        </w:rPr>
        <w:t xml:space="preserve"> numer umowy został zmieniony aneksem do umowy wpisujemy numer umowy, który dotyczy należności skierowanej do windykacji (np. gdy należność dotyczy wyprzedzającego finansowania </w:t>
      </w:r>
      <w:r w:rsidR="001A608F">
        <w:rPr>
          <w:sz w:val="22"/>
          <w:szCs w:val="22"/>
        </w:rPr>
        <w:t>wówczas</w:t>
      </w:r>
      <w:r w:rsidR="00FC14AE" w:rsidRPr="0028071F">
        <w:rPr>
          <w:sz w:val="22"/>
          <w:szCs w:val="22"/>
        </w:rPr>
        <w:t xml:space="preserve"> w ZW-1/12 wpisujemy numer umowy, który</w:t>
      </w:r>
      <w:r w:rsidR="003A348B">
        <w:rPr>
          <w:sz w:val="22"/>
          <w:szCs w:val="22"/>
        </w:rPr>
        <w:t xml:space="preserve"> </w:t>
      </w:r>
      <w:r w:rsidR="00FC14AE" w:rsidRPr="0028071F">
        <w:rPr>
          <w:sz w:val="22"/>
          <w:szCs w:val="22"/>
        </w:rPr>
        <w:t>obowiązywał w momencie realizacji płatności z wyprzedzającego finansowania)</w:t>
      </w:r>
      <w:r w:rsidR="009733AA" w:rsidRPr="0028071F">
        <w:rPr>
          <w:sz w:val="22"/>
          <w:szCs w:val="22"/>
        </w:rPr>
        <w:t>.</w:t>
      </w:r>
    </w:p>
    <w:p w:rsidR="0030481A" w:rsidRDefault="0030481A" w:rsidP="003A348B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30481A" w:rsidRPr="002A6B46" w:rsidRDefault="0030481A" w:rsidP="003A348B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2A6B46">
        <w:rPr>
          <w:sz w:val="22"/>
          <w:szCs w:val="22"/>
        </w:rPr>
        <w:t xml:space="preserve">W przypadku </w:t>
      </w:r>
      <w:r w:rsidRPr="008473F0">
        <w:rPr>
          <w:b/>
          <w:sz w:val="22"/>
          <w:szCs w:val="22"/>
        </w:rPr>
        <w:t>znaku sprawy</w:t>
      </w:r>
      <w:r w:rsidRPr="002A6B46">
        <w:rPr>
          <w:sz w:val="22"/>
          <w:szCs w:val="22"/>
        </w:rPr>
        <w:t xml:space="preserve"> (zgodny z instrukcją tworzenia znaku sprawy) należy dodatkowo oznaczyć liczbę spraw dla których ustalano kwoty nienależnie, nadmiernie pobranych środków publicznych</w:t>
      </w:r>
      <w:r w:rsidR="00CD2688" w:rsidRPr="002A6B46">
        <w:rPr>
          <w:sz w:val="22"/>
          <w:szCs w:val="22"/>
        </w:rPr>
        <w:t>, zgodnie ze wzorem: UM01-6932-UM0100009/09/</w:t>
      </w:r>
      <w:r w:rsidR="00CD2688" w:rsidRPr="002A6B46">
        <w:rPr>
          <w:b/>
          <w:sz w:val="22"/>
          <w:szCs w:val="22"/>
        </w:rPr>
        <w:t xml:space="preserve">01, </w:t>
      </w:r>
      <w:r w:rsidR="00CD2688" w:rsidRPr="002A6B46">
        <w:rPr>
          <w:sz w:val="22"/>
          <w:szCs w:val="22"/>
        </w:rPr>
        <w:t xml:space="preserve">gdzie symbol „01” oznacza że beneficjent jest windykowany po raz pierwszy w ramach sprawy. Jeśli beneficjent będzie windykowany po raz drugi w ramach sprawy, wówczas należy uwzględnić to następująco: </w:t>
      </w:r>
      <w:r w:rsidR="00CD2688" w:rsidRPr="002A6B46">
        <w:rPr>
          <w:sz w:val="22"/>
          <w:szCs w:val="22"/>
        </w:rPr>
        <w:br/>
        <w:t>UM01-6932-UM0100009/09/</w:t>
      </w:r>
      <w:r w:rsidR="00CD2688" w:rsidRPr="002A6B46">
        <w:rPr>
          <w:b/>
          <w:sz w:val="22"/>
          <w:szCs w:val="22"/>
        </w:rPr>
        <w:t>0</w:t>
      </w:r>
      <w:r w:rsidR="005F4E46">
        <w:rPr>
          <w:b/>
          <w:sz w:val="22"/>
          <w:szCs w:val="22"/>
        </w:rPr>
        <w:t>2.</w:t>
      </w:r>
    </w:p>
    <w:p w:rsidR="009733AA" w:rsidRPr="0028071F" w:rsidRDefault="009733AA" w:rsidP="00D54177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9733AA" w:rsidRPr="0028071F" w:rsidRDefault="009733AA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Wskazanie kwoty do windykacji:</w:t>
      </w:r>
    </w:p>
    <w:p w:rsidR="009733AA" w:rsidRPr="00A21E10" w:rsidRDefault="003A348B" w:rsidP="00A21E10">
      <w:pPr>
        <w:spacing w:line="276" w:lineRule="auto"/>
        <w:ind w:left="360"/>
        <w:jc w:val="both"/>
        <w:rPr>
          <w:sz w:val="22"/>
          <w:szCs w:val="22"/>
        </w:rPr>
      </w:pPr>
      <w:r w:rsidRPr="00A21E10">
        <w:rPr>
          <w:sz w:val="22"/>
          <w:szCs w:val="22"/>
        </w:rPr>
        <w:t xml:space="preserve">W zależności od pomocy jaka </w:t>
      </w:r>
      <w:r w:rsidR="003E7DF0">
        <w:rPr>
          <w:sz w:val="22"/>
          <w:szCs w:val="22"/>
        </w:rPr>
        <w:t>została</w:t>
      </w:r>
      <w:r w:rsidR="003E7DF0" w:rsidRPr="00A21E10">
        <w:rPr>
          <w:sz w:val="22"/>
          <w:szCs w:val="22"/>
        </w:rPr>
        <w:t xml:space="preserve"> </w:t>
      </w:r>
      <w:r w:rsidRPr="00A21E10">
        <w:rPr>
          <w:sz w:val="22"/>
          <w:szCs w:val="22"/>
        </w:rPr>
        <w:t>wypłac</w:t>
      </w:r>
      <w:r w:rsidR="003E7DF0">
        <w:rPr>
          <w:sz w:val="22"/>
          <w:szCs w:val="22"/>
        </w:rPr>
        <w:t>o</w:t>
      </w:r>
      <w:r w:rsidRPr="00A21E10">
        <w:rPr>
          <w:sz w:val="22"/>
          <w:szCs w:val="22"/>
        </w:rPr>
        <w:t xml:space="preserve">na Beneficjentowi przez ARiMR na realizację operacji </w:t>
      </w:r>
      <w:r w:rsidR="00FC14AE" w:rsidRPr="00A21E10">
        <w:rPr>
          <w:sz w:val="22"/>
          <w:szCs w:val="22"/>
        </w:rPr>
        <w:t xml:space="preserve">należy </w:t>
      </w:r>
      <w:r w:rsidR="00A21E10" w:rsidRPr="00A21E10">
        <w:rPr>
          <w:sz w:val="22"/>
          <w:szCs w:val="22"/>
        </w:rPr>
        <w:t xml:space="preserve">odpowiednio </w:t>
      </w:r>
      <w:r w:rsidR="00FC14AE" w:rsidRPr="00A21E10">
        <w:rPr>
          <w:sz w:val="22"/>
          <w:szCs w:val="22"/>
        </w:rPr>
        <w:t>wskazać kwotę w podziale na</w:t>
      </w:r>
      <w:r w:rsidR="00A21E10" w:rsidRPr="00A21E10">
        <w:rPr>
          <w:sz w:val="22"/>
          <w:szCs w:val="22"/>
        </w:rPr>
        <w:t xml:space="preserve"> źródła finansowania, tj.:</w:t>
      </w:r>
      <w:r w:rsidR="00FC14AE" w:rsidRPr="00A21E10">
        <w:rPr>
          <w:sz w:val="22"/>
          <w:szCs w:val="22"/>
        </w:rPr>
        <w:t xml:space="preserve"> środki krajowe i wspólnotowe wraz z % podziałem środków na środki PL i UE</w:t>
      </w:r>
      <w:r w:rsidR="0060584E">
        <w:rPr>
          <w:sz w:val="22"/>
          <w:szCs w:val="22"/>
        </w:rPr>
        <w:t>.</w:t>
      </w:r>
    </w:p>
    <w:p w:rsidR="009733AA" w:rsidRPr="0028071F" w:rsidRDefault="009733AA" w:rsidP="00D54177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9733AA" w:rsidRPr="0028071F" w:rsidRDefault="009733AA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Wskazanie rodzaju powstania należności:</w:t>
      </w:r>
    </w:p>
    <w:p w:rsidR="00EE2A50" w:rsidRPr="0028071F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 wyniku błędu administracyjnego (np. błąd pracownika )</w:t>
      </w:r>
      <w:r w:rsidR="00697C8E" w:rsidRPr="0028071F">
        <w:rPr>
          <w:sz w:val="22"/>
          <w:szCs w:val="22"/>
        </w:rPr>
        <w:t>;</w:t>
      </w:r>
    </w:p>
    <w:p w:rsidR="009733AA" w:rsidRPr="0028071F" w:rsidRDefault="009733AA" w:rsidP="00A21E10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 xml:space="preserve">z winy beneficjenta (np. </w:t>
      </w:r>
      <w:r w:rsidR="00CF5C9C">
        <w:rPr>
          <w:sz w:val="22"/>
          <w:szCs w:val="22"/>
        </w:rPr>
        <w:t>niedotrzymanie zapisów</w:t>
      </w:r>
      <w:r w:rsidRPr="0028071F">
        <w:rPr>
          <w:sz w:val="22"/>
          <w:szCs w:val="22"/>
        </w:rPr>
        <w:t xml:space="preserve"> umowy).</w:t>
      </w:r>
    </w:p>
    <w:p w:rsidR="009733AA" w:rsidRPr="0028071F" w:rsidRDefault="009733AA" w:rsidP="00D54177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9733AA" w:rsidRPr="0028071F" w:rsidRDefault="009733AA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Wskazanie typu należności</w:t>
      </w:r>
      <w:r w:rsidR="007F6274">
        <w:rPr>
          <w:sz w:val="22"/>
          <w:szCs w:val="22"/>
        </w:rPr>
        <w:t xml:space="preserve"> (należy wybrać właściwe)</w:t>
      </w:r>
      <w:r w:rsidRPr="0028071F">
        <w:rPr>
          <w:sz w:val="22"/>
          <w:szCs w:val="22"/>
        </w:rPr>
        <w:t>:</w:t>
      </w:r>
    </w:p>
    <w:p w:rsidR="00EE2A50" w:rsidRPr="0028071F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wyprzedzające finansowanie</w:t>
      </w:r>
      <w:r w:rsidR="00697C8E" w:rsidRPr="0028071F">
        <w:rPr>
          <w:sz w:val="22"/>
          <w:szCs w:val="22"/>
        </w:rPr>
        <w:t>;</w:t>
      </w:r>
    </w:p>
    <w:p w:rsidR="00EE2A50" w:rsidRPr="0028071F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zaliczka</w:t>
      </w:r>
      <w:r w:rsidR="00697C8E" w:rsidRPr="0028071F">
        <w:rPr>
          <w:sz w:val="22"/>
          <w:szCs w:val="22"/>
        </w:rPr>
        <w:t>;</w:t>
      </w:r>
    </w:p>
    <w:p w:rsidR="009733AA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zwykła sprawa windykacyjna</w:t>
      </w:r>
      <w:r w:rsidR="009733AA" w:rsidRPr="0028071F">
        <w:rPr>
          <w:sz w:val="22"/>
          <w:szCs w:val="22"/>
        </w:rPr>
        <w:t>.</w:t>
      </w:r>
    </w:p>
    <w:p w:rsidR="001148E1" w:rsidRPr="0028071F" w:rsidRDefault="001148E1" w:rsidP="001148E1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9733AA" w:rsidRPr="0028071F" w:rsidRDefault="009733AA" w:rsidP="00D54177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9733AA" w:rsidRPr="0028071F" w:rsidRDefault="009733AA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Wypełnianie Tabeli nr 1:</w:t>
      </w:r>
    </w:p>
    <w:p w:rsidR="00EE2A50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należy w tabeli wskazać należność podlegającą windykacji</w:t>
      </w:r>
      <w:r w:rsidR="00697C8E" w:rsidRPr="0028071F">
        <w:rPr>
          <w:sz w:val="22"/>
          <w:szCs w:val="22"/>
        </w:rPr>
        <w:t>;</w:t>
      </w:r>
    </w:p>
    <w:p w:rsidR="00047905" w:rsidRPr="0028071F" w:rsidRDefault="00047905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rodzaj odsetek – podatkowe - zgodnie z ustawą o ARiMR, do rozliczania należności stosuje się odpowiednio przepisy dzia</w:t>
      </w:r>
      <w:r w:rsidR="00060BBE">
        <w:rPr>
          <w:sz w:val="22"/>
          <w:szCs w:val="22"/>
        </w:rPr>
        <w:t>ł</w:t>
      </w:r>
      <w:r>
        <w:rPr>
          <w:sz w:val="22"/>
          <w:szCs w:val="22"/>
        </w:rPr>
        <w:t>u III ustawy z dn. 29.08.1997 r. Ordynacja podatkowa</w:t>
      </w:r>
      <w:r w:rsidR="00FF0B89">
        <w:rPr>
          <w:sz w:val="22"/>
          <w:szCs w:val="22"/>
        </w:rPr>
        <w:t xml:space="preserve"> (Dz. U. 2012, poz. 749 z późn. zm.)</w:t>
      </w:r>
      <w:r>
        <w:rPr>
          <w:sz w:val="22"/>
          <w:szCs w:val="22"/>
        </w:rPr>
        <w:t>;</w:t>
      </w:r>
    </w:p>
    <w:p w:rsidR="001148E1" w:rsidRPr="008D6746" w:rsidRDefault="001148E1" w:rsidP="001148E1">
      <w:pPr>
        <w:pStyle w:val="Akapitzlist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8D6746">
        <w:rPr>
          <w:bCs/>
          <w:sz w:val="22"/>
          <w:szCs w:val="22"/>
        </w:rPr>
        <w:t xml:space="preserve">początkową datę naliczania odsetek należy wskazać zgodnie z zapisami umowy o przyznanie pomocy zawartej z beneficjentem (sposób naliczania odsetek został opisany w Instrukcja </w:t>
      </w:r>
      <w:r>
        <w:rPr>
          <w:bCs/>
          <w:sz w:val="22"/>
          <w:szCs w:val="22"/>
        </w:rPr>
        <w:br/>
      </w:r>
      <w:r w:rsidRPr="008D6746">
        <w:rPr>
          <w:bCs/>
          <w:sz w:val="22"/>
          <w:szCs w:val="22"/>
        </w:rPr>
        <w:t>w sprawie ustalania kwot nienależnie, nadmiernie pobranych środków publicznych (I-5</w:t>
      </w:r>
      <w:r w:rsidR="002C4679" w:rsidRPr="008D6746">
        <w:rPr>
          <w:bCs/>
          <w:sz w:val="22"/>
          <w:szCs w:val="22"/>
        </w:rPr>
        <w:t>/</w:t>
      </w:r>
      <w:r w:rsidR="002C4679">
        <w:rPr>
          <w:bCs/>
          <w:sz w:val="22"/>
          <w:szCs w:val="22"/>
        </w:rPr>
        <w:t>188</w:t>
      </w:r>
      <w:r w:rsidR="002C4679" w:rsidRPr="008D6746">
        <w:rPr>
          <w:bCs/>
          <w:sz w:val="22"/>
          <w:szCs w:val="22"/>
        </w:rPr>
        <w:t xml:space="preserve">). </w:t>
      </w:r>
      <w:r>
        <w:rPr>
          <w:bCs/>
          <w:sz w:val="22"/>
          <w:szCs w:val="22"/>
        </w:rPr>
        <w:br/>
      </w:r>
      <w:r w:rsidRPr="008D6746">
        <w:rPr>
          <w:bCs/>
          <w:sz w:val="22"/>
          <w:szCs w:val="22"/>
        </w:rPr>
        <w:t>W przypadku, gdy z akt sprawy nie wynika obowiązek naliczenia odsetek należy w polu początkowa data naliczania odsetek wprowadzić zapis – odsetek nie nalicza się;</w:t>
      </w:r>
    </w:p>
    <w:p w:rsidR="00185917" w:rsidRPr="00185917" w:rsidRDefault="00185917" w:rsidP="00185917">
      <w:pPr>
        <w:pStyle w:val="Akapitzlist"/>
        <w:ind w:left="720"/>
        <w:jc w:val="both"/>
        <w:rPr>
          <w:bCs/>
          <w:sz w:val="22"/>
          <w:szCs w:val="22"/>
        </w:rPr>
      </w:pPr>
    </w:p>
    <w:p w:rsidR="001148E1" w:rsidRPr="00185917" w:rsidRDefault="001148E1" w:rsidP="00961264">
      <w:pPr>
        <w:pStyle w:val="Akapitzlist"/>
        <w:numPr>
          <w:ilvl w:val="0"/>
          <w:numId w:val="11"/>
        </w:numPr>
        <w:jc w:val="both"/>
        <w:rPr>
          <w:bCs/>
          <w:sz w:val="22"/>
          <w:szCs w:val="22"/>
        </w:rPr>
      </w:pPr>
      <w:r w:rsidRPr="00185917">
        <w:rPr>
          <w:b/>
          <w:bCs/>
          <w:sz w:val="22"/>
          <w:szCs w:val="22"/>
        </w:rPr>
        <w:t>data zatwierdzenia raportu z kontroli lub podobnego dokumentu</w:t>
      </w:r>
      <w:r w:rsidRPr="00961264">
        <w:rPr>
          <w:bCs/>
          <w:sz w:val="22"/>
          <w:szCs w:val="22"/>
        </w:rPr>
        <w:t xml:space="preserve">, o którym mowa w art. 54 ust. 1 </w:t>
      </w:r>
      <w:r w:rsidR="00FF0B89">
        <w:rPr>
          <w:bCs/>
          <w:sz w:val="22"/>
          <w:szCs w:val="22"/>
        </w:rPr>
        <w:t>r</w:t>
      </w:r>
      <w:r w:rsidRPr="00961264">
        <w:rPr>
          <w:bCs/>
          <w:sz w:val="22"/>
          <w:szCs w:val="22"/>
        </w:rPr>
        <w:t>ozporządzenia</w:t>
      </w:r>
      <w:r w:rsidR="00FF0B89">
        <w:rPr>
          <w:bCs/>
          <w:sz w:val="22"/>
          <w:szCs w:val="22"/>
        </w:rPr>
        <w:t xml:space="preserve"> Parlamentu Europejskiego i Rady</w:t>
      </w:r>
      <w:r w:rsidRPr="00961264">
        <w:rPr>
          <w:bCs/>
          <w:sz w:val="22"/>
          <w:szCs w:val="22"/>
        </w:rPr>
        <w:t xml:space="preserve"> (UE) nr 1306/2013</w:t>
      </w:r>
      <w:r w:rsidR="00FF0B89">
        <w:rPr>
          <w:bCs/>
          <w:sz w:val="22"/>
          <w:szCs w:val="22"/>
        </w:rPr>
        <w:t xml:space="preserve"> z dn. 17.12.2013 r. w sprawie finansowania wspólnej polityki rolnej, zarządzania nią </w:t>
      </w:r>
      <w:r w:rsidR="000B7028">
        <w:rPr>
          <w:bCs/>
          <w:sz w:val="22"/>
          <w:szCs w:val="22"/>
        </w:rPr>
        <w:br/>
      </w:r>
      <w:r w:rsidR="00FF0B89">
        <w:rPr>
          <w:bCs/>
          <w:sz w:val="22"/>
          <w:szCs w:val="22"/>
        </w:rPr>
        <w:t>i monitorowania jej oraz uchylającego rozporządzenia Rady (EWG) nr 352/78</w:t>
      </w:r>
      <w:r w:rsidR="00961264" w:rsidRPr="00961264">
        <w:rPr>
          <w:bCs/>
          <w:sz w:val="22"/>
          <w:szCs w:val="22"/>
        </w:rPr>
        <w:t>,</w:t>
      </w:r>
      <w:r w:rsidR="00FF0B89">
        <w:rPr>
          <w:bCs/>
          <w:sz w:val="22"/>
          <w:szCs w:val="22"/>
        </w:rPr>
        <w:t xml:space="preserve"> (WE) nr 165/94, </w:t>
      </w:r>
      <w:r w:rsidR="00961264" w:rsidRPr="00961264">
        <w:rPr>
          <w:bCs/>
          <w:sz w:val="22"/>
          <w:szCs w:val="22"/>
        </w:rPr>
        <w:t xml:space="preserve"> </w:t>
      </w:r>
      <w:r w:rsidR="00FF0B89">
        <w:rPr>
          <w:bCs/>
          <w:sz w:val="22"/>
          <w:szCs w:val="22"/>
        </w:rPr>
        <w:t xml:space="preserve">(WE)  nr 2799/98, (WE) nr 814/2000, (WE) nr 1290/2005 i (WE) nr 485/2008 (Dz. Urz. UE nr L 347, s. 549 z 20.12.2013 r.), </w:t>
      </w:r>
      <w:r w:rsidRPr="00185917">
        <w:rPr>
          <w:bCs/>
          <w:sz w:val="22"/>
          <w:szCs w:val="22"/>
          <w:u w:val="single"/>
        </w:rPr>
        <w:t>to data</w:t>
      </w:r>
      <w:r w:rsidR="00961264" w:rsidRPr="00185917">
        <w:rPr>
          <w:bCs/>
          <w:sz w:val="22"/>
          <w:szCs w:val="22"/>
          <w:u w:val="single"/>
        </w:rPr>
        <w:t xml:space="preserve"> </w:t>
      </w:r>
      <w:r w:rsidRPr="00185917">
        <w:rPr>
          <w:bCs/>
          <w:sz w:val="22"/>
          <w:szCs w:val="22"/>
          <w:u w:val="single"/>
        </w:rPr>
        <w:t xml:space="preserve">pierwszego w chronologii sprawy dokumentu stwierdzającego, że </w:t>
      </w:r>
      <w:r w:rsidR="00925F78" w:rsidRPr="00185917">
        <w:rPr>
          <w:bCs/>
          <w:sz w:val="22"/>
          <w:szCs w:val="22"/>
          <w:u w:val="single"/>
        </w:rPr>
        <w:t xml:space="preserve">miała miejsce </w:t>
      </w:r>
      <w:r w:rsidRPr="00185917">
        <w:rPr>
          <w:bCs/>
          <w:sz w:val="22"/>
          <w:szCs w:val="22"/>
          <w:u w:val="single"/>
        </w:rPr>
        <w:t>nieprawidłowość.</w:t>
      </w:r>
      <w:r w:rsidRPr="00185917">
        <w:rPr>
          <w:bCs/>
          <w:sz w:val="22"/>
          <w:szCs w:val="22"/>
        </w:rPr>
        <w:t xml:space="preserve"> </w:t>
      </w:r>
      <w:r w:rsidR="00961264" w:rsidRPr="00185917">
        <w:rPr>
          <w:bCs/>
          <w:sz w:val="22"/>
          <w:szCs w:val="22"/>
        </w:rPr>
        <w:t xml:space="preserve">Dokument ten </w:t>
      </w:r>
      <w:r w:rsidR="00984942">
        <w:rPr>
          <w:bCs/>
          <w:sz w:val="22"/>
          <w:szCs w:val="22"/>
        </w:rPr>
        <w:t xml:space="preserve">skutkuje dochodzeniem należności i </w:t>
      </w:r>
      <w:r w:rsidR="00961264" w:rsidRPr="00185917">
        <w:rPr>
          <w:bCs/>
          <w:sz w:val="22"/>
          <w:szCs w:val="22"/>
        </w:rPr>
        <w:t>winien być zatwierdzony</w:t>
      </w:r>
      <w:r w:rsidR="00AD07D1" w:rsidRPr="00185917">
        <w:rPr>
          <w:bCs/>
          <w:sz w:val="22"/>
          <w:szCs w:val="22"/>
        </w:rPr>
        <w:t>.</w:t>
      </w:r>
    </w:p>
    <w:p w:rsidR="001148E1" w:rsidRPr="0090568A" w:rsidRDefault="001148E1" w:rsidP="001148E1">
      <w:pPr>
        <w:pStyle w:val="Akapitzlist"/>
        <w:jc w:val="both"/>
        <w:rPr>
          <w:bCs/>
          <w:sz w:val="22"/>
          <w:szCs w:val="22"/>
        </w:rPr>
      </w:pPr>
    </w:p>
    <w:p w:rsidR="001148E1" w:rsidRPr="0090568A" w:rsidRDefault="001148E1" w:rsidP="001148E1">
      <w:pPr>
        <w:pStyle w:val="Akapitzlist"/>
        <w:ind w:left="720"/>
        <w:jc w:val="both"/>
        <w:rPr>
          <w:bCs/>
          <w:sz w:val="22"/>
          <w:szCs w:val="22"/>
        </w:rPr>
      </w:pPr>
      <w:r w:rsidRPr="0090568A">
        <w:rPr>
          <w:bCs/>
          <w:sz w:val="22"/>
          <w:szCs w:val="22"/>
        </w:rPr>
        <w:t xml:space="preserve">W przypadku jakichkolwiek nienależnych płatności wynikających z nieprawidłowości lub zaniedbań państwa członkowskie </w:t>
      </w:r>
      <w:r w:rsidRPr="0090568A">
        <w:rPr>
          <w:b/>
          <w:bCs/>
          <w:sz w:val="22"/>
          <w:szCs w:val="22"/>
        </w:rPr>
        <w:t xml:space="preserve">występują do beneficjenta o zwrot odnośnej kwoty </w:t>
      </w:r>
      <w:r w:rsidR="000B6453" w:rsidRPr="0090568A">
        <w:rPr>
          <w:b/>
          <w:bCs/>
          <w:sz w:val="22"/>
          <w:szCs w:val="22"/>
        </w:rPr>
        <w:br/>
      </w:r>
      <w:r w:rsidRPr="0090568A">
        <w:rPr>
          <w:b/>
          <w:bCs/>
          <w:sz w:val="22"/>
          <w:szCs w:val="22"/>
        </w:rPr>
        <w:t xml:space="preserve">w ciągu 18 miesięcy </w:t>
      </w:r>
      <w:r w:rsidR="00AD07D1">
        <w:rPr>
          <w:b/>
          <w:bCs/>
          <w:sz w:val="22"/>
          <w:szCs w:val="22"/>
        </w:rPr>
        <w:t>po zatwierdzeniu, a w stosownych przypadkach</w:t>
      </w:r>
      <w:r w:rsidRPr="0090568A">
        <w:rPr>
          <w:bCs/>
          <w:sz w:val="22"/>
          <w:szCs w:val="22"/>
        </w:rPr>
        <w:t>, po otrzymaniu przez agencję płatniczą lub podmiot odpowiedzialny za odzyskiwanie takich płatności</w:t>
      </w:r>
      <w:r w:rsidR="00AD07D1">
        <w:rPr>
          <w:bCs/>
          <w:sz w:val="22"/>
          <w:szCs w:val="22"/>
        </w:rPr>
        <w:t>,</w:t>
      </w:r>
      <w:r w:rsidRPr="0090568A">
        <w:rPr>
          <w:bCs/>
          <w:sz w:val="22"/>
          <w:szCs w:val="22"/>
        </w:rPr>
        <w:t xml:space="preserve"> sprawozdania z kontroli lub podobnego dokumentu stwierdzającego, że miała miejsce nieprawidłowość.</w:t>
      </w:r>
    </w:p>
    <w:p w:rsidR="003C3151" w:rsidRPr="00285351" w:rsidRDefault="003C3151" w:rsidP="003C3151">
      <w:pPr>
        <w:ind w:left="708"/>
        <w:jc w:val="both"/>
        <w:rPr>
          <w:bCs/>
          <w:sz w:val="22"/>
          <w:szCs w:val="22"/>
        </w:rPr>
      </w:pPr>
      <w:r w:rsidRPr="00285351">
        <w:rPr>
          <w:bCs/>
          <w:sz w:val="22"/>
          <w:szCs w:val="22"/>
        </w:rPr>
        <w:t xml:space="preserve">Z uwagi na fakt, iż w systemie informatycznym brak jest funkcjonalnosci umożliwiających weryfikacje zachowania terminu 18-cy od daty stwierdzenia nieprawidłowosci do czasu wystąpienia o zwrot, </w:t>
      </w:r>
      <w:r>
        <w:rPr>
          <w:bCs/>
          <w:sz w:val="22"/>
          <w:szCs w:val="22"/>
        </w:rPr>
        <w:t>podmioty wdrażające</w:t>
      </w:r>
      <w:r w:rsidRPr="00285351">
        <w:rPr>
          <w:bCs/>
          <w:sz w:val="22"/>
          <w:szCs w:val="22"/>
        </w:rPr>
        <w:t xml:space="preserve"> zobowiązane są do  stałego monitorowania ww. terminu oraz wszczynania czynnosci mających na celu ustalenie kwot i terminowe wystąpienie o zwrot do beneficjenta. </w:t>
      </w:r>
    </w:p>
    <w:p w:rsidR="000B7028" w:rsidRPr="000B7028" w:rsidRDefault="000B7028" w:rsidP="000B7028">
      <w:pPr>
        <w:pStyle w:val="Zwykytekst"/>
        <w:ind w:left="708"/>
        <w:jc w:val="both"/>
        <w:rPr>
          <w:rFonts w:ascii="Times New Roman" w:eastAsia="Times New Roman" w:hAnsi="Times New Roman"/>
          <w:bCs/>
          <w:sz w:val="22"/>
          <w:szCs w:val="22"/>
        </w:rPr>
      </w:pPr>
      <w:r>
        <w:rPr>
          <w:rFonts w:ascii="Times New Roman" w:eastAsia="Times New Roman" w:hAnsi="Times New Roman"/>
          <w:bCs/>
          <w:sz w:val="22"/>
          <w:szCs w:val="22"/>
        </w:rPr>
        <w:t>W</w:t>
      </w:r>
      <w:r w:rsidRPr="000B7028">
        <w:rPr>
          <w:rFonts w:ascii="Times New Roman" w:eastAsia="Times New Roman" w:hAnsi="Times New Roman"/>
          <w:bCs/>
          <w:sz w:val="22"/>
          <w:szCs w:val="22"/>
        </w:rPr>
        <w:t xml:space="preserve"> przypadku konieczności wypełnienia dokumentu ZW-1/12 i braku informacji zwrotnej </w:t>
      </w:r>
      <w:r>
        <w:rPr>
          <w:rFonts w:ascii="Times New Roman" w:eastAsia="Times New Roman" w:hAnsi="Times New Roman"/>
          <w:bCs/>
          <w:sz w:val="22"/>
          <w:szCs w:val="22"/>
        </w:rPr>
        <w:br/>
      </w:r>
      <w:r w:rsidRPr="000B7028">
        <w:rPr>
          <w:rFonts w:ascii="Times New Roman" w:eastAsia="Times New Roman" w:hAnsi="Times New Roman"/>
          <w:bCs/>
          <w:sz w:val="22"/>
          <w:szCs w:val="22"/>
        </w:rPr>
        <w:t>o doręczeniu pisma, w celu prawidłowego wypełnienia, należy oczekiwać zwrotnej informacji o doręczeniu pisma (włączając reklamację do operatora publicznego). Dopiero po otrzymaniu „zwrotki” możliwe jest wypełnienie tabeli nr 1 dokumentu zgłoszenia należności.</w:t>
      </w:r>
    </w:p>
    <w:p w:rsidR="004863A9" w:rsidRDefault="004863A9" w:rsidP="004863A9">
      <w:pPr>
        <w:spacing w:line="276" w:lineRule="auto"/>
        <w:ind w:left="708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Każdy dokument ZW-1/12 winien być opatrzony datą </w:t>
      </w:r>
      <w:r w:rsidRPr="00185917">
        <w:rPr>
          <w:sz w:val="22"/>
          <w:szCs w:val="22"/>
        </w:rPr>
        <w:t>doręczeni</w:t>
      </w:r>
      <w:r>
        <w:rPr>
          <w:sz w:val="22"/>
          <w:szCs w:val="22"/>
        </w:rPr>
        <w:t>a decyzji o ustaleniu kwot/ Datą</w:t>
      </w:r>
      <w:r w:rsidRPr="00185917">
        <w:rPr>
          <w:sz w:val="22"/>
          <w:szCs w:val="22"/>
        </w:rPr>
        <w:t xml:space="preserve"> doręczenia informacji o konieczności zwrotu</w:t>
      </w:r>
      <w:r w:rsidRPr="0018591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oraz datą </w:t>
      </w:r>
      <w:r w:rsidRPr="00185917">
        <w:rPr>
          <w:bCs/>
          <w:sz w:val="22"/>
          <w:szCs w:val="22"/>
        </w:rPr>
        <w:t>zatwierdzenia raportu z kontroli lub podobnego dokumentu</w:t>
      </w:r>
      <w:r>
        <w:rPr>
          <w:bCs/>
          <w:sz w:val="22"/>
          <w:szCs w:val="22"/>
        </w:rPr>
        <w:t>.</w:t>
      </w:r>
    </w:p>
    <w:p w:rsidR="00047905" w:rsidRDefault="00047905" w:rsidP="00047905">
      <w:pPr>
        <w:spacing w:line="276" w:lineRule="auto"/>
        <w:ind w:left="360"/>
        <w:jc w:val="both"/>
        <w:rPr>
          <w:b/>
          <w:sz w:val="22"/>
          <w:szCs w:val="22"/>
        </w:rPr>
      </w:pPr>
    </w:p>
    <w:p w:rsidR="00047905" w:rsidRPr="00984942" w:rsidRDefault="00047905" w:rsidP="00047905">
      <w:pPr>
        <w:spacing w:line="276" w:lineRule="auto"/>
        <w:ind w:left="360"/>
        <w:jc w:val="both"/>
        <w:rPr>
          <w:b/>
          <w:sz w:val="22"/>
          <w:szCs w:val="22"/>
        </w:rPr>
      </w:pPr>
      <w:r w:rsidRPr="00984942">
        <w:rPr>
          <w:b/>
          <w:sz w:val="22"/>
          <w:szCs w:val="22"/>
        </w:rPr>
        <w:t>Przypad</w:t>
      </w:r>
      <w:r>
        <w:rPr>
          <w:b/>
          <w:sz w:val="22"/>
          <w:szCs w:val="22"/>
        </w:rPr>
        <w:t>ki</w:t>
      </w:r>
      <w:r w:rsidRPr="00984942">
        <w:rPr>
          <w:b/>
          <w:sz w:val="22"/>
          <w:szCs w:val="22"/>
        </w:rPr>
        <w:t xml:space="preserve"> szczególn</w:t>
      </w:r>
      <w:r>
        <w:rPr>
          <w:b/>
          <w:sz w:val="22"/>
          <w:szCs w:val="22"/>
        </w:rPr>
        <w:t>e</w:t>
      </w:r>
      <w:r w:rsidRPr="00984942">
        <w:rPr>
          <w:b/>
          <w:sz w:val="22"/>
          <w:szCs w:val="22"/>
        </w:rPr>
        <w:t>:</w:t>
      </w:r>
    </w:p>
    <w:p w:rsidR="00047905" w:rsidRDefault="00047905" w:rsidP="00047905">
      <w:pPr>
        <w:spacing w:line="276" w:lineRule="auto"/>
        <w:ind w:left="360"/>
        <w:jc w:val="both"/>
        <w:rPr>
          <w:sz w:val="22"/>
          <w:szCs w:val="22"/>
        </w:rPr>
      </w:pPr>
    </w:p>
    <w:p w:rsidR="00047905" w:rsidRDefault="00047905" w:rsidP="00047905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53427E">
        <w:rPr>
          <w:sz w:val="22"/>
          <w:szCs w:val="22"/>
        </w:rPr>
        <w:t>Jeśli zwrot należności nie wiąże się ze stwierdzoną nieprawidłowością, gdy w sprawie nie wystąpiła korespondencja  kierowana do beneficjenta w sprawie ustalenia kwot nienależnie, nadmiernie pobranych środków publicznych, wówczas Tabelę nr 1 należy wypełnić w sposób następujący:</w:t>
      </w:r>
    </w:p>
    <w:p w:rsidR="00047905" w:rsidRPr="008729C0" w:rsidRDefault="00047905" w:rsidP="00047905">
      <w:pPr>
        <w:pStyle w:val="Akapitzlist"/>
        <w:numPr>
          <w:ilvl w:val="0"/>
          <w:numId w:val="11"/>
        </w:num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kolumnę</w:t>
      </w:r>
      <w:r w:rsidRPr="008729C0">
        <w:rPr>
          <w:sz w:val="22"/>
          <w:szCs w:val="22"/>
        </w:rPr>
        <w:t xml:space="preserve"> „</w:t>
      </w:r>
      <w:r w:rsidRPr="008729C0">
        <w:rPr>
          <w:bCs/>
          <w:sz w:val="22"/>
          <w:szCs w:val="22"/>
        </w:rPr>
        <w:t xml:space="preserve">data zatwierdzenia raportu z kontroli lub podobnego dokumentu” </w:t>
      </w:r>
      <w:r>
        <w:rPr>
          <w:bCs/>
          <w:sz w:val="22"/>
          <w:szCs w:val="22"/>
        </w:rPr>
        <w:t>należy</w:t>
      </w:r>
      <w:r w:rsidRPr="008729C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uzupełnić o datę rozpatrzenia należności, tj. datę zatwierdzenia dokumentu</w:t>
      </w:r>
      <w:r w:rsidR="00410B6C">
        <w:rPr>
          <w:bCs/>
          <w:sz w:val="22"/>
          <w:szCs w:val="22"/>
        </w:rPr>
        <w:t xml:space="preserve"> będącego załącznikiem nr</w:t>
      </w:r>
      <w:r>
        <w:rPr>
          <w:bCs/>
          <w:sz w:val="22"/>
          <w:szCs w:val="22"/>
        </w:rPr>
        <w:t xml:space="preserve"> 1</w:t>
      </w:r>
      <w:r w:rsidR="00410B6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472E44" w:rsidRPr="00472E44">
        <w:rPr>
          <w:b/>
          <w:bCs/>
          <w:i/>
          <w:sz w:val="22"/>
          <w:szCs w:val="22"/>
        </w:rPr>
        <w:t>Ustalenie wysokości kwoty należności do zwrotu</w:t>
      </w:r>
      <w:r w:rsidR="00472E44" w:rsidRPr="00472E4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do niniejszej instrukcji;</w:t>
      </w:r>
    </w:p>
    <w:p w:rsidR="00047905" w:rsidRPr="00490613" w:rsidRDefault="00047905" w:rsidP="00047905">
      <w:pPr>
        <w:pStyle w:val="Akapitzlist"/>
        <w:numPr>
          <w:ilvl w:val="0"/>
          <w:numId w:val="11"/>
        </w:numPr>
        <w:spacing w:line="276" w:lineRule="auto"/>
        <w:jc w:val="both"/>
      </w:pPr>
      <w:r w:rsidRPr="008729C0">
        <w:rPr>
          <w:sz w:val="22"/>
          <w:szCs w:val="22"/>
        </w:rPr>
        <w:lastRenderedPageBreak/>
        <w:t>kolumn</w:t>
      </w:r>
      <w:r>
        <w:rPr>
          <w:sz w:val="22"/>
          <w:szCs w:val="22"/>
        </w:rPr>
        <w:t>ę</w:t>
      </w:r>
      <w:r w:rsidRPr="008729C0">
        <w:rPr>
          <w:sz w:val="22"/>
          <w:szCs w:val="22"/>
        </w:rPr>
        <w:t xml:space="preserve"> ”data doręczenia decyzji o ustaleniu kwot/ Datą doręczenia informacji </w:t>
      </w:r>
      <w:r>
        <w:rPr>
          <w:sz w:val="22"/>
          <w:szCs w:val="22"/>
        </w:rPr>
        <w:br/>
      </w:r>
      <w:r w:rsidRPr="008729C0">
        <w:rPr>
          <w:sz w:val="22"/>
          <w:szCs w:val="22"/>
        </w:rPr>
        <w:t>o konieczności zwrotu”</w:t>
      </w:r>
      <w:r>
        <w:rPr>
          <w:sz w:val="22"/>
          <w:szCs w:val="22"/>
        </w:rPr>
        <w:t>, należy uzupełnić o datę realizacji przelewu środków na rzecz ARiMR.</w:t>
      </w:r>
    </w:p>
    <w:p w:rsidR="00047905" w:rsidRPr="00490613" w:rsidRDefault="00047905" w:rsidP="00047905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490613">
        <w:rPr>
          <w:sz w:val="22"/>
          <w:szCs w:val="22"/>
        </w:rPr>
        <w:t>Jeśli zwrot należności nie wiąże się ze stwierdzoną nieprawidłowością,</w:t>
      </w:r>
      <w:r>
        <w:rPr>
          <w:sz w:val="22"/>
          <w:szCs w:val="22"/>
        </w:rPr>
        <w:t xml:space="preserve"> ale gdy do beneficjenta zostało skierowane pismo P-1/188</w:t>
      </w:r>
      <w:r w:rsidR="00677B0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490613">
        <w:rPr>
          <w:sz w:val="22"/>
          <w:szCs w:val="22"/>
        </w:rPr>
        <w:t>wówczas Tabelę nr 1 należy wypełnić w sposób następujący:</w:t>
      </w:r>
    </w:p>
    <w:p w:rsidR="00047905" w:rsidRDefault="00047905" w:rsidP="00047905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kolumnę</w:t>
      </w:r>
      <w:r w:rsidRPr="008729C0">
        <w:rPr>
          <w:sz w:val="22"/>
          <w:szCs w:val="22"/>
        </w:rPr>
        <w:t xml:space="preserve"> „</w:t>
      </w:r>
      <w:r w:rsidRPr="00F70CB0">
        <w:rPr>
          <w:sz w:val="22"/>
          <w:szCs w:val="22"/>
        </w:rPr>
        <w:t xml:space="preserve">data zatwierdzenia raportu z kontroli lub podobnego dokumentu” należy uzupełnić o datę </w:t>
      </w:r>
      <w:r>
        <w:rPr>
          <w:sz w:val="22"/>
          <w:szCs w:val="22"/>
        </w:rPr>
        <w:t>ww pisma</w:t>
      </w:r>
      <w:r w:rsidRPr="00F70CB0">
        <w:rPr>
          <w:sz w:val="22"/>
          <w:szCs w:val="22"/>
        </w:rPr>
        <w:t>;</w:t>
      </w:r>
    </w:p>
    <w:p w:rsidR="00047905" w:rsidRPr="00F70CB0" w:rsidRDefault="00047905" w:rsidP="00047905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8729C0">
        <w:rPr>
          <w:sz w:val="22"/>
          <w:szCs w:val="22"/>
        </w:rPr>
        <w:t>kolumn</w:t>
      </w:r>
      <w:r>
        <w:rPr>
          <w:sz w:val="22"/>
          <w:szCs w:val="22"/>
        </w:rPr>
        <w:t>ę</w:t>
      </w:r>
      <w:r w:rsidRPr="008729C0">
        <w:rPr>
          <w:sz w:val="22"/>
          <w:szCs w:val="22"/>
        </w:rPr>
        <w:t xml:space="preserve"> ”data doręczenia decyzji o ustaleniu kwot/ Datą doręczenia informacji </w:t>
      </w:r>
      <w:r>
        <w:rPr>
          <w:sz w:val="22"/>
          <w:szCs w:val="22"/>
        </w:rPr>
        <w:br/>
      </w:r>
      <w:r w:rsidRPr="008729C0">
        <w:rPr>
          <w:sz w:val="22"/>
          <w:szCs w:val="22"/>
        </w:rPr>
        <w:t>o konieczności zwrotu”</w:t>
      </w:r>
      <w:r>
        <w:rPr>
          <w:sz w:val="22"/>
          <w:szCs w:val="22"/>
        </w:rPr>
        <w:t>, należy uzupełnić o datę doręczenia tego pisma/decyzji.</w:t>
      </w:r>
    </w:p>
    <w:p w:rsidR="00AD07D1" w:rsidRPr="0090568A" w:rsidRDefault="00AD07D1" w:rsidP="001148E1">
      <w:pPr>
        <w:pStyle w:val="Akapitzlist"/>
        <w:ind w:left="720"/>
        <w:jc w:val="both"/>
        <w:rPr>
          <w:bCs/>
          <w:sz w:val="22"/>
          <w:szCs w:val="22"/>
        </w:rPr>
      </w:pPr>
    </w:p>
    <w:p w:rsidR="0029149E" w:rsidRPr="00794C49" w:rsidRDefault="00794C49" w:rsidP="001148E1">
      <w:pPr>
        <w:pStyle w:val="Akapitzlist"/>
        <w:numPr>
          <w:ilvl w:val="0"/>
          <w:numId w:val="11"/>
        </w:numPr>
        <w:ind w:right="-2"/>
        <w:jc w:val="both"/>
        <w:rPr>
          <w:bCs/>
          <w:sz w:val="22"/>
          <w:szCs w:val="22"/>
        </w:rPr>
      </w:pPr>
      <w:r w:rsidRPr="00185917">
        <w:rPr>
          <w:b/>
          <w:bCs/>
          <w:sz w:val="22"/>
          <w:szCs w:val="22"/>
        </w:rPr>
        <w:t>Data doręczenia decyzji o ustaleniu kwot/ Data doręczenia informacji o konieczności zwrotu</w:t>
      </w:r>
      <w:r w:rsidRPr="00794C49">
        <w:rPr>
          <w:bCs/>
          <w:sz w:val="22"/>
          <w:szCs w:val="22"/>
        </w:rPr>
        <w:t>, to</w:t>
      </w:r>
      <w:r w:rsidR="00DC56D9" w:rsidRPr="00794C49">
        <w:rPr>
          <w:bCs/>
          <w:sz w:val="22"/>
          <w:szCs w:val="22"/>
        </w:rPr>
        <w:t xml:space="preserve"> data doręczenia beneficjentowi pisma</w:t>
      </w:r>
      <w:r>
        <w:rPr>
          <w:bCs/>
          <w:sz w:val="22"/>
          <w:szCs w:val="22"/>
        </w:rPr>
        <w:t xml:space="preserve"> </w:t>
      </w:r>
      <w:r w:rsidR="00DC56D9" w:rsidRPr="00794C49">
        <w:rPr>
          <w:bCs/>
          <w:sz w:val="22"/>
          <w:szCs w:val="22"/>
        </w:rPr>
        <w:t>w sprawie konieczności odzyskania</w:t>
      </w:r>
      <w:r w:rsidR="00DC56D9" w:rsidRPr="00794C49">
        <w:rPr>
          <w:sz w:val="22"/>
          <w:szCs w:val="22"/>
        </w:rPr>
        <w:t xml:space="preserve"> kwot nienależnie, nadmiernie pobranych środków publicznych</w:t>
      </w:r>
      <w:r w:rsidR="001148E1" w:rsidRPr="00794C49">
        <w:rPr>
          <w:sz w:val="22"/>
          <w:szCs w:val="22"/>
        </w:rPr>
        <w:t xml:space="preserve"> lub decyzji o ustaleniu kwoty nienależnie, nadmiernie pobranych środków publicznych</w:t>
      </w:r>
      <w:r w:rsidR="00DC56D9" w:rsidRPr="00794C49">
        <w:rPr>
          <w:sz w:val="22"/>
          <w:szCs w:val="22"/>
        </w:rPr>
        <w:t>.</w:t>
      </w:r>
    </w:p>
    <w:p w:rsidR="00185917" w:rsidRDefault="00185917" w:rsidP="00A21E10">
      <w:pPr>
        <w:spacing w:line="276" w:lineRule="auto"/>
        <w:ind w:left="360"/>
        <w:jc w:val="both"/>
        <w:rPr>
          <w:sz w:val="22"/>
          <w:szCs w:val="22"/>
        </w:rPr>
      </w:pPr>
    </w:p>
    <w:p w:rsidR="00185917" w:rsidRDefault="00185917" w:rsidP="00A21E10">
      <w:pPr>
        <w:spacing w:line="276" w:lineRule="auto"/>
        <w:ind w:left="36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Każdy dokument ZW-1/12 winien być opatrzony datą </w:t>
      </w:r>
      <w:r w:rsidRPr="00185917">
        <w:rPr>
          <w:sz w:val="22"/>
          <w:szCs w:val="22"/>
        </w:rPr>
        <w:t>doręczeni</w:t>
      </w:r>
      <w:r>
        <w:rPr>
          <w:sz w:val="22"/>
          <w:szCs w:val="22"/>
        </w:rPr>
        <w:t>a decyzji o ustaleniu kwot/ Datą</w:t>
      </w:r>
      <w:r w:rsidRPr="00185917">
        <w:rPr>
          <w:sz w:val="22"/>
          <w:szCs w:val="22"/>
        </w:rPr>
        <w:t xml:space="preserve"> doręczenia informacji o konieczności zwrotu</w:t>
      </w:r>
      <w:r w:rsidRPr="0018591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oraz datą </w:t>
      </w:r>
      <w:r w:rsidRPr="00185917">
        <w:rPr>
          <w:bCs/>
          <w:sz w:val="22"/>
          <w:szCs w:val="22"/>
        </w:rPr>
        <w:t>zatwierdzenia raportu z kontroli lub podobnego dokumentu</w:t>
      </w:r>
      <w:r>
        <w:rPr>
          <w:bCs/>
          <w:sz w:val="22"/>
          <w:szCs w:val="22"/>
        </w:rPr>
        <w:t>.</w:t>
      </w:r>
    </w:p>
    <w:p w:rsidR="00A21E10" w:rsidRDefault="00A21E10" w:rsidP="00A21E10">
      <w:pPr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Ponadto, należy wypełnić pole „podstawa prawna wypłaty środków wymienionemu beneficjentowi”</w:t>
      </w:r>
      <w:r w:rsidR="008473F0">
        <w:rPr>
          <w:sz w:val="22"/>
          <w:szCs w:val="22"/>
        </w:rPr>
        <w:t>.</w:t>
      </w:r>
    </w:p>
    <w:p w:rsidR="008729C0" w:rsidRDefault="008729C0" w:rsidP="00A21E10">
      <w:pPr>
        <w:spacing w:line="276" w:lineRule="auto"/>
        <w:ind w:left="360"/>
        <w:jc w:val="both"/>
        <w:rPr>
          <w:sz w:val="22"/>
          <w:szCs w:val="22"/>
        </w:rPr>
      </w:pPr>
    </w:p>
    <w:p w:rsidR="00697C8E" w:rsidRPr="0028071F" w:rsidRDefault="00697C8E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Wypełnianie Tabeli nr 2:</w:t>
      </w:r>
    </w:p>
    <w:p w:rsidR="00635219" w:rsidRPr="00635219" w:rsidRDefault="00FC14AE" w:rsidP="00706048">
      <w:pPr>
        <w:pStyle w:val="Akapitzlist"/>
        <w:numPr>
          <w:ilvl w:val="0"/>
          <w:numId w:val="11"/>
        </w:numPr>
        <w:spacing w:line="276" w:lineRule="auto"/>
        <w:jc w:val="both"/>
        <w:rPr>
          <w:b/>
          <w:sz w:val="22"/>
          <w:szCs w:val="22"/>
        </w:rPr>
      </w:pPr>
      <w:r w:rsidRPr="00706048">
        <w:rPr>
          <w:sz w:val="22"/>
          <w:szCs w:val="22"/>
        </w:rPr>
        <w:t xml:space="preserve">w zestawieniu dokonanych wypłat należy wskazać </w:t>
      </w:r>
      <w:r w:rsidR="00B5735E" w:rsidRPr="00B5735E">
        <w:rPr>
          <w:b/>
          <w:sz w:val="22"/>
          <w:szCs w:val="22"/>
        </w:rPr>
        <w:t>jedno zlecenie płatności</w:t>
      </w:r>
      <w:r w:rsidR="004247AD">
        <w:rPr>
          <w:sz w:val="22"/>
          <w:szCs w:val="22"/>
        </w:rPr>
        <w:t xml:space="preserve">, którego dotyczy zwrot należności. Jeśli </w:t>
      </w:r>
      <w:r w:rsidR="00635219">
        <w:rPr>
          <w:sz w:val="22"/>
          <w:szCs w:val="22"/>
        </w:rPr>
        <w:t>zwrot dot. kilku etapów w ramach danej operacji, wówczas należy sporządzić dokumenty ZW-1/12 odrębnie dla każdego zlecenia płatności</w:t>
      </w:r>
      <w:r w:rsidR="004247AD">
        <w:rPr>
          <w:sz w:val="22"/>
          <w:szCs w:val="22"/>
        </w:rPr>
        <w:t xml:space="preserve">. </w:t>
      </w:r>
    </w:p>
    <w:p w:rsidR="003E7095" w:rsidRPr="00635219" w:rsidRDefault="003E7095" w:rsidP="00706048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635219">
        <w:rPr>
          <w:sz w:val="22"/>
          <w:szCs w:val="22"/>
        </w:rPr>
        <w:t>W kolumnie „data” należy wskazać datę realizacji</w:t>
      </w:r>
      <w:r w:rsidR="00E81481">
        <w:rPr>
          <w:sz w:val="22"/>
          <w:szCs w:val="22"/>
        </w:rPr>
        <w:t xml:space="preserve"> (zapłaty)</w:t>
      </w:r>
      <w:r w:rsidRPr="00635219">
        <w:rPr>
          <w:sz w:val="22"/>
          <w:szCs w:val="22"/>
        </w:rPr>
        <w:t xml:space="preserve"> </w:t>
      </w:r>
      <w:r w:rsidR="00635219">
        <w:rPr>
          <w:sz w:val="22"/>
          <w:szCs w:val="22"/>
        </w:rPr>
        <w:t xml:space="preserve">zlecenia </w:t>
      </w:r>
      <w:r w:rsidRPr="00635219">
        <w:rPr>
          <w:sz w:val="22"/>
          <w:szCs w:val="22"/>
        </w:rPr>
        <w:t>płatności</w:t>
      </w:r>
      <w:r w:rsidR="00421258" w:rsidRPr="00635219">
        <w:rPr>
          <w:sz w:val="22"/>
          <w:szCs w:val="22"/>
        </w:rPr>
        <w:t>.</w:t>
      </w:r>
    </w:p>
    <w:p w:rsidR="00697C8E" w:rsidRPr="00635219" w:rsidRDefault="00697C8E" w:rsidP="00706048">
      <w:pPr>
        <w:pStyle w:val="Akapitzlist"/>
        <w:spacing w:line="276" w:lineRule="auto"/>
        <w:ind w:left="720"/>
        <w:jc w:val="both"/>
        <w:rPr>
          <w:b/>
          <w:sz w:val="22"/>
          <w:szCs w:val="22"/>
        </w:rPr>
      </w:pPr>
    </w:p>
    <w:p w:rsidR="00CF09E2" w:rsidRPr="00635219" w:rsidRDefault="00B5735E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b/>
          <w:sz w:val="22"/>
          <w:szCs w:val="22"/>
        </w:rPr>
      </w:pPr>
      <w:r w:rsidRPr="00B5735E">
        <w:rPr>
          <w:b/>
          <w:sz w:val="22"/>
          <w:szCs w:val="22"/>
        </w:rPr>
        <w:t>Tabela „kary pieniężne” nie jest wypełniana.</w:t>
      </w:r>
    </w:p>
    <w:p w:rsidR="00CF09E2" w:rsidRPr="00635219" w:rsidRDefault="00CF09E2" w:rsidP="00CF09E2">
      <w:pPr>
        <w:pStyle w:val="Akapitzlist"/>
        <w:spacing w:line="276" w:lineRule="auto"/>
        <w:ind w:left="360"/>
        <w:jc w:val="both"/>
        <w:rPr>
          <w:b/>
          <w:sz w:val="22"/>
          <w:szCs w:val="22"/>
        </w:rPr>
      </w:pPr>
    </w:p>
    <w:p w:rsidR="00697C8E" w:rsidRPr="00635219" w:rsidRDefault="00B5735E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b/>
          <w:sz w:val="22"/>
          <w:szCs w:val="22"/>
        </w:rPr>
      </w:pPr>
      <w:r w:rsidRPr="00B5735E">
        <w:rPr>
          <w:b/>
          <w:sz w:val="22"/>
          <w:szCs w:val="22"/>
        </w:rPr>
        <w:t>Podstawa żądania zapłaty:</w:t>
      </w:r>
    </w:p>
    <w:p w:rsidR="00EE2A50" w:rsidRPr="00635219" w:rsidRDefault="00FC14AE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F42612">
        <w:rPr>
          <w:sz w:val="22"/>
          <w:szCs w:val="22"/>
        </w:rPr>
        <w:t>należy wskazać nazwę, numer i datę dokumentu stwierdzającego wystąpienie nieprawidłowości</w:t>
      </w:r>
      <w:r w:rsidR="003558B8">
        <w:rPr>
          <w:sz w:val="22"/>
          <w:szCs w:val="22"/>
        </w:rPr>
        <w:t xml:space="preserve">  lub nazwę, numer i datę dokumentu na podstawie, którego beneficjent zobowiązany jest do zwrotu pomocy;</w:t>
      </w:r>
    </w:p>
    <w:p w:rsidR="00EE2A50" w:rsidRPr="00635219" w:rsidRDefault="003558B8" w:rsidP="00D54177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należy wskazać, których zapisów umowy nie wykonał beneficjent lub </w:t>
      </w:r>
      <w:r w:rsidR="00A529AB">
        <w:rPr>
          <w:sz w:val="22"/>
          <w:szCs w:val="22"/>
        </w:rPr>
        <w:t>naruszone postanowienia</w:t>
      </w:r>
      <w:r>
        <w:rPr>
          <w:sz w:val="22"/>
          <w:szCs w:val="22"/>
        </w:rPr>
        <w:t xml:space="preserve"> umowy.</w:t>
      </w:r>
    </w:p>
    <w:p w:rsidR="00AA3EC2" w:rsidRPr="002A6B46" w:rsidRDefault="003558B8" w:rsidP="006F296C">
      <w:pPr>
        <w:pStyle w:val="CM5"/>
        <w:spacing w:after="67" w:line="308" w:lineRule="atLeast"/>
        <w:ind w:left="205" w:right="23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Każdorazowo w pozycji „Podstawa żądania zapłaty" należy wskazywać powód skierowania sprawy do windykacji. </w:t>
      </w:r>
      <w:r w:rsidR="00D50AE3" w:rsidRPr="002A6B46">
        <w:rPr>
          <w:sz w:val="22"/>
          <w:szCs w:val="22"/>
        </w:rPr>
        <w:t>W</w:t>
      </w:r>
      <w:r w:rsidR="00AA3EC2" w:rsidRPr="002A6B46">
        <w:rPr>
          <w:sz w:val="22"/>
          <w:szCs w:val="22"/>
        </w:rPr>
        <w:t xml:space="preserve"> przypadku nale</w:t>
      </w:r>
      <w:r w:rsidR="00D50AE3" w:rsidRPr="002A6B46">
        <w:rPr>
          <w:sz w:val="22"/>
          <w:szCs w:val="22"/>
        </w:rPr>
        <w:t>żnoś</w:t>
      </w:r>
      <w:r w:rsidR="00AA3EC2" w:rsidRPr="002A6B46">
        <w:rPr>
          <w:sz w:val="22"/>
          <w:szCs w:val="22"/>
        </w:rPr>
        <w:t>ci dot. rozl</w:t>
      </w:r>
      <w:r w:rsidR="00D50AE3" w:rsidRPr="002A6B46">
        <w:rPr>
          <w:sz w:val="22"/>
          <w:szCs w:val="22"/>
        </w:rPr>
        <w:t>iczenia zaliczki lub wyprzedzają</w:t>
      </w:r>
      <w:r w:rsidR="00AA3EC2" w:rsidRPr="002A6B46">
        <w:rPr>
          <w:sz w:val="22"/>
          <w:szCs w:val="22"/>
        </w:rPr>
        <w:t>cego finan</w:t>
      </w:r>
      <w:r w:rsidR="00D50AE3" w:rsidRPr="002A6B46">
        <w:rPr>
          <w:sz w:val="22"/>
          <w:szCs w:val="22"/>
        </w:rPr>
        <w:t>sowania należy wpisać</w:t>
      </w:r>
      <w:r w:rsidR="00AA3EC2" w:rsidRPr="002A6B46">
        <w:rPr>
          <w:sz w:val="22"/>
          <w:szCs w:val="22"/>
        </w:rPr>
        <w:t xml:space="preserve">, </w:t>
      </w:r>
      <w:r w:rsidR="00D50AE3" w:rsidRPr="002A6B46">
        <w:rPr>
          <w:sz w:val="22"/>
          <w:szCs w:val="22"/>
        </w:rPr>
        <w:t xml:space="preserve"> ż</w:t>
      </w:r>
      <w:r w:rsidR="00AA3EC2" w:rsidRPr="002A6B46">
        <w:rPr>
          <w:sz w:val="22"/>
          <w:szCs w:val="22"/>
        </w:rPr>
        <w:t>e dokument ZW-1</w:t>
      </w:r>
      <w:r w:rsidR="00D50AE3" w:rsidRPr="002A6B46">
        <w:rPr>
          <w:sz w:val="22"/>
          <w:szCs w:val="22"/>
        </w:rPr>
        <w:t>/12 został sporządzony w zwią</w:t>
      </w:r>
      <w:r w:rsidR="006F296C" w:rsidRPr="002A6B46">
        <w:rPr>
          <w:sz w:val="22"/>
          <w:szCs w:val="22"/>
        </w:rPr>
        <w:t xml:space="preserve">zku </w:t>
      </w:r>
      <w:r w:rsidR="006F296C" w:rsidRPr="002A6B46">
        <w:rPr>
          <w:sz w:val="22"/>
          <w:szCs w:val="22"/>
        </w:rPr>
        <w:br/>
        <w:t>z rozliczeniem ww. W zakresie</w:t>
      </w:r>
      <w:r w:rsidR="00AA3EC2" w:rsidRPr="002A6B46">
        <w:rPr>
          <w:sz w:val="22"/>
          <w:szCs w:val="22"/>
        </w:rPr>
        <w:t xml:space="preserve"> nale</w:t>
      </w:r>
      <w:r w:rsidR="006F296C" w:rsidRPr="002A6B46">
        <w:rPr>
          <w:sz w:val="22"/>
          <w:szCs w:val="22"/>
        </w:rPr>
        <w:t>żnoś</w:t>
      </w:r>
      <w:r w:rsidR="00AA3EC2" w:rsidRPr="002A6B46">
        <w:rPr>
          <w:sz w:val="22"/>
          <w:szCs w:val="22"/>
        </w:rPr>
        <w:t>ci dot.</w:t>
      </w:r>
      <w:r w:rsidR="006F296C" w:rsidRPr="002A6B46">
        <w:rPr>
          <w:sz w:val="22"/>
          <w:szCs w:val="22"/>
        </w:rPr>
        <w:t xml:space="preserve"> rozliczenia dobrowolnych zwrotó</w:t>
      </w:r>
      <w:r w:rsidR="00AA3EC2" w:rsidRPr="002A6B46">
        <w:rPr>
          <w:sz w:val="22"/>
          <w:szCs w:val="22"/>
        </w:rPr>
        <w:t>w</w:t>
      </w:r>
      <w:r w:rsidR="006F296C" w:rsidRPr="002A6B46">
        <w:rPr>
          <w:sz w:val="22"/>
          <w:szCs w:val="22"/>
        </w:rPr>
        <w:t xml:space="preserve"> dokonywanych przez beneficjentó</w:t>
      </w:r>
      <w:r w:rsidR="00AA3EC2" w:rsidRPr="002A6B46">
        <w:rPr>
          <w:sz w:val="22"/>
          <w:szCs w:val="22"/>
        </w:rPr>
        <w:t>w</w:t>
      </w:r>
      <w:r w:rsidR="006F296C" w:rsidRPr="002A6B46">
        <w:rPr>
          <w:sz w:val="22"/>
          <w:szCs w:val="22"/>
        </w:rPr>
        <w:t>,</w:t>
      </w:r>
      <w:r w:rsidR="00AA3EC2" w:rsidRPr="002A6B46">
        <w:rPr>
          <w:sz w:val="22"/>
          <w:szCs w:val="22"/>
        </w:rPr>
        <w:t xml:space="preserve"> nale</w:t>
      </w:r>
      <w:r w:rsidR="006F296C" w:rsidRPr="002A6B46">
        <w:rPr>
          <w:sz w:val="22"/>
          <w:szCs w:val="22"/>
        </w:rPr>
        <w:t>ż</w:t>
      </w:r>
      <w:r w:rsidR="00AA3EC2" w:rsidRPr="002A6B46">
        <w:rPr>
          <w:sz w:val="22"/>
          <w:szCs w:val="22"/>
        </w:rPr>
        <w:t>y wskaza</w:t>
      </w:r>
      <w:r w:rsidR="006F296C" w:rsidRPr="002A6B46">
        <w:rPr>
          <w:sz w:val="22"/>
          <w:szCs w:val="22"/>
        </w:rPr>
        <w:t>ć</w:t>
      </w:r>
      <w:r w:rsidR="00AA3EC2" w:rsidRPr="002A6B46">
        <w:rPr>
          <w:sz w:val="22"/>
          <w:szCs w:val="22"/>
        </w:rPr>
        <w:t xml:space="preserve"> przyczyn</w:t>
      </w:r>
      <w:r w:rsidR="006F296C" w:rsidRPr="002A6B46">
        <w:rPr>
          <w:sz w:val="22"/>
          <w:szCs w:val="22"/>
        </w:rPr>
        <w:t>ę dokonania dobrowolnego zwrotu. N</w:t>
      </w:r>
      <w:r w:rsidR="00AA3EC2" w:rsidRPr="002A6B46">
        <w:rPr>
          <w:sz w:val="22"/>
          <w:szCs w:val="22"/>
        </w:rPr>
        <w:t>atomiast przy spr</w:t>
      </w:r>
      <w:r w:rsidR="006F296C" w:rsidRPr="002A6B46">
        <w:rPr>
          <w:sz w:val="22"/>
          <w:szCs w:val="22"/>
        </w:rPr>
        <w:t>awach windykacyjnych, należy wskazać dokument stwierdzający nieprawidłowość</w:t>
      </w:r>
      <w:r w:rsidR="00AA3EC2" w:rsidRPr="002A6B46">
        <w:rPr>
          <w:sz w:val="22"/>
          <w:szCs w:val="22"/>
        </w:rPr>
        <w:t xml:space="preserve"> oraz odpowiednie p</w:t>
      </w:r>
      <w:r w:rsidR="006F296C" w:rsidRPr="002A6B46">
        <w:rPr>
          <w:sz w:val="22"/>
          <w:szCs w:val="22"/>
        </w:rPr>
        <w:t>ostanowienia umowy, kt</w:t>
      </w:r>
      <w:r w:rsidR="000167C9">
        <w:rPr>
          <w:sz w:val="22"/>
          <w:szCs w:val="22"/>
        </w:rPr>
        <w:t>ó</w:t>
      </w:r>
      <w:r w:rsidR="006F296C" w:rsidRPr="002A6B46">
        <w:rPr>
          <w:sz w:val="22"/>
          <w:szCs w:val="22"/>
        </w:rPr>
        <w:t>re zostały przez beneficjenta zł</w:t>
      </w:r>
      <w:r w:rsidR="00AA3EC2" w:rsidRPr="002A6B46">
        <w:rPr>
          <w:sz w:val="22"/>
          <w:szCs w:val="22"/>
        </w:rPr>
        <w:t xml:space="preserve">amane. </w:t>
      </w:r>
    </w:p>
    <w:p w:rsidR="00682910" w:rsidRPr="0028071F" w:rsidRDefault="00682910" w:rsidP="0030481A">
      <w:pPr>
        <w:pStyle w:val="Akapitzlist"/>
        <w:ind w:left="205"/>
        <w:jc w:val="both"/>
        <w:rPr>
          <w:color w:val="000000"/>
          <w:sz w:val="22"/>
          <w:szCs w:val="22"/>
        </w:rPr>
      </w:pPr>
    </w:p>
    <w:p w:rsidR="00D54177" w:rsidRPr="0028071F" w:rsidRDefault="00D54177" w:rsidP="00D54177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>Załączniki przekazywane wraz z dokumentem ZW-1/12</w:t>
      </w:r>
      <w:r w:rsidR="006F296C">
        <w:rPr>
          <w:sz w:val="22"/>
          <w:szCs w:val="22"/>
        </w:rPr>
        <w:t xml:space="preserve"> (</w:t>
      </w:r>
      <w:r w:rsidR="006F296C" w:rsidRPr="002A6B46">
        <w:rPr>
          <w:sz w:val="22"/>
          <w:szCs w:val="22"/>
        </w:rPr>
        <w:t>należy wybrać</w:t>
      </w:r>
      <w:r w:rsidR="006F296C">
        <w:rPr>
          <w:sz w:val="22"/>
          <w:szCs w:val="22"/>
        </w:rPr>
        <w:t xml:space="preserve"> </w:t>
      </w:r>
      <w:r w:rsidR="0030481A">
        <w:rPr>
          <w:sz w:val="22"/>
          <w:szCs w:val="22"/>
        </w:rPr>
        <w:t>właściwe</w:t>
      </w:r>
      <w:r w:rsidR="00E67BCE">
        <w:rPr>
          <w:sz w:val="22"/>
          <w:szCs w:val="22"/>
        </w:rPr>
        <w:t xml:space="preserve"> – pozycje zbędne </w:t>
      </w:r>
      <w:r w:rsidR="002C4679">
        <w:rPr>
          <w:sz w:val="22"/>
          <w:szCs w:val="22"/>
        </w:rPr>
        <w:t xml:space="preserve">z poniższej listy </w:t>
      </w:r>
      <w:r w:rsidR="00E67BCE">
        <w:rPr>
          <w:sz w:val="22"/>
          <w:szCs w:val="22"/>
        </w:rPr>
        <w:t>należy usunąć</w:t>
      </w:r>
      <w:r w:rsidR="006F296C">
        <w:rPr>
          <w:sz w:val="22"/>
          <w:szCs w:val="22"/>
        </w:rPr>
        <w:t>)</w:t>
      </w:r>
      <w:r w:rsidRPr="0028071F">
        <w:rPr>
          <w:sz w:val="22"/>
          <w:szCs w:val="22"/>
        </w:rPr>
        <w:t>:</w:t>
      </w:r>
    </w:p>
    <w:p w:rsidR="00D54177" w:rsidRPr="0028071F" w:rsidRDefault="00D54177" w:rsidP="00D54177">
      <w:pPr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600E5" w:rsidRPr="006E6FFC" w:rsidRDefault="007600E5" w:rsidP="002E4306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6E6FFC">
        <w:rPr>
          <w:sz w:val="18"/>
          <w:szCs w:val="18"/>
        </w:rPr>
        <w:t>Kopia decyzji ustalając</w:t>
      </w:r>
      <w:r w:rsidR="006E6FFC">
        <w:rPr>
          <w:sz w:val="18"/>
          <w:szCs w:val="18"/>
        </w:rPr>
        <w:t>ej</w:t>
      </w:r>
      <w:r w:rsidRPr="006E6FFC">
        <w:rPr>
          <w:sz w:val="18"/>
          <w:szCs w:val="18"/>
        </w:rPr>
        <w:t xml:space="preserve"> kwotę do zwrotu - kopia poświadczona za zgodność z oryginałem,  (o ile występuje w sprawie).</w:t>
      </w:r>
    </w:p>
    <w:p w:rsidR="002E4306" w:rsidRPr="005B475A" w:rsidRDefault="00D54177" w:rsidP="002E4306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Dokument informujący o podstawie żądania zwrotu przyznanej pomocy – </w:t>
      </w:r>
      <w:r w:rsidR="002E4306" w:rsidRPr="005B475A">
        <w:rPr>
          <w:sz w:val="18"/>
          <w:szCs w:val="18"/>
        </w:rPr>
        <w:t>kopia poświadczona za zgodność z oryginałem;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>Wniosek (wnioski) beneficjenta o płatnoś</w:t>
      </w:r>
      <w:r w:rsidR="002E4306" w:rsidRPr="005B475A">
        <w:rPr>
          <w:sz w:val="18"/>
          <w:szCs w:val="18"/>
        </w:rPr>
        <w:t>ć</w:t>
      </w:r>
      <w:r w:rsidR="00706048" w:rsidRPr="005B475A">
        <w:rPr>
          <w:sz w:val="18"/>
          <w:szCs w:val="18"/>
        </w:rPr>
        <w:t xml:space="preserve"> – </w:t>
      </w:r>
      <w:r w:rsidRPr="005B475A">
        <w:rPr>
          <w:sz w:val="18"/>
          <w:szCs w:val="18"/>
        </w:rPr>
        <w:t>kopia poświa</w:t>
      </w:r>
      <w:r w:rsidR="00A73121" w:rsidRPr="005B475A">
        <w:rPr>
          <w:sz w:val="18"/>
          <w:szCs w:val="18"/>
        </w:rPr>
        <w:t>dczona za zgodność</w:t>
      </w:r>
      <w:r w:rsidR="00706048" w:rsidRPr="005B475A">
        <w:rPr>
          <w:sz w:val="18"/>
          <w:szCs w:val="18"/>
        </w:rPr>
        <w:t xml:space="preserve"> </w:t>
      </w:r>
      <w:r w:rsidR="00A73121" w:rsidRPr="005B475A">
        <w:rPr>
          <w:sz w:val="18"/>
          <w:szCs w:val="18"/>
        </w:rPr>
        <w:t>z oryginałem;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>Zlecenie płatności – kopia poświa</w:t>
      </w:r>
      <w:r w:rsidR="00A73121" w:rsidRPr="005B475A">
        <w:rPr>
          <w:sz w:val="18"/>
          <w:szCs w:val="18"/>
        </w:rPr>
        <w:t>dczona za zgodność z oryginałem;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>Umowa z beneficjentem wraz z załącznikami lub decyzja administracyjna w sprawie przyznania pomocy– kopia poświa</w:t>
      </w:r>
      <w:r w:rsidR="00A73121" w:rsidRPr="005B475A">
        <w:rPr>
          <w:sz w:val="18"/>
          <w:szCs w:val="18"/>
        </w:rPr>
        <w:t>dczona za zgodność z oryginałem;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Decyzja administracyjna nr … w sprawie ustalenia kwoty nienależnie/nadmiernie pobranych środków </w:t>
      </w:r>
      <w:r w:rsidR="002E4306" w:rsidRPr="005B475A">
        <w:rPr>
          <w:sz w:val="18"/>
          <w:szCs w:val="18"/>
        </w:rPr>
        <w:t>publicznych</w:t>
      </w:r>
      <w:r w:rsidRPr="005B475A">
        <w:rPr>
          <w:sz w:val="18"/>
          <w:szCs w:val="18"/>
        </w:rPr>
        <w:t xml:space="preserve"> – </w:t>
      </w:r>
      <w:r w:rsidR="002E4306" w:rsidRPr="005B475A">
        <w:rPr>
          <w:sz w:val="18"/>
          <w:szCs w:val="18"/>
        </w:rPr>
        <w:t xml:space="preserve">kopia poświadczona za zgodność </w:t>
      </w:r>
      <w:r w:rsidR="00D67D5A" w:rsidRPr="005B475A">
        <w:rPr>
          <w:sz w:val="18"/>
          <w:szCs w:val="18"/>
        </w:rPr>
        <w:t xml:space="preserve">z oryginałem, </w:t>
      </w:r>
      <w:r w:rsidR="00A73121" w:rsidRPr="005B475A">
        <w:rPr>
          <w:sz w:val="18"/>
          <w:szCs w:val="18"/>
        </w:rPr>
        <w:t xml:space="preserve">(o ile występuje </w:t>
      </w:r>
      <w:r w:rsidR="00706048" w:rsidRPr="005B475A">
        <w:rPr>
          <w:sz w:val="18"/>
          <w:szCs w:val="18"/>
        </w:rPr>
        <w:br/>
      </w:r>
      <w:r w:rsidR="00A73121" w:rsidRPr="005B475A">
        <w:rPr>
          <w:sz w:val="18"/>
          <w:szCs w:val="18"/>
        </w:rPr>
        <w:t>w sprawie);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Dokumenty potwierdzające ustanowione zabezpieczenia – kopie poświadczone za zgodność </w:t>
      </w:r>
      <w:r w:rsidR="0028071F" w:rsidRPr="005B475A">
        <w:rPr>
          <w:sz w:val="18"/>
          <w:szCs w:val="18"/>
        </w:rPr>
        <w:br/>
      </w:r>
      <w:r w:rsidRPr="005B475A">
        <w:rPr>
          <w:sz w:val="18"/>
          <w:szCs w:val="18"/>
        </w:rPr>
        <w:t>z oryginałem (o ile do</w:t>
      </w:r>
      <w:r w:rsidR="00A73121" w:rsidRPr="005B475A">
        <w:rPr>
          <w:sz w:val="18"/>
          <w:szCs w:val="18"/>
        </w:rPr>
        <w:t>kumenty te występują w sprawie);</w:t>
      </w:r>
    </w:p>
    <w:p w:rsidR="00D54177" w:rsidRPr="005B475A" w:rsidRDefault="00D54177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Dokument (dokumenty) stwierdzający/e/ wystąpienie nieprawidłowości - kopia potwierdzona za zgodność z oryginałem (o ile dokument/y/ </w:t>
      </w:r>
      <w:r w:rsidR="00A73121" w:rsidRPr="005B475A">
        <w:rPr>
          <w:sz w:val="18"/>
          <w:szCs w:val="18"/>
        </w:rPr>
        <w:t>ten/te występuje/-ą/w sprawie);</w:t>
      </w:r>
    </w:p>
    <w:p w:rsidR="00D67D5A" w:rsidRPr="005B475A" w:rsidRDefault="00D67D5A" w:rsidP="00A73121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Opinia prawna dot. wystąpienia nieprawidłowości </w:t>
      </w:r>
      <w:r w:rsidR="005A0C12" w:rsidRPr="005B475A">
        <w:rPr>
          <w:sz w:val="18"/>
          <w:szCs w:val="18"/>
        </w:rPr>
        <w:t>skutkującej</w:t>
      </w:r>
      <w:r w:rsidRPr="005B475A">
        <w:rPr>
          <w:sz w:val="18"/>
          <w:szCs w:val="18"/>
        </w:rPr>
        <w:t xml:space="preserve"> dochodzeni</w:t>
      </w:r>
      <w:r w:rsidR="005A0C12" w:rsidRPr="005B475A">
        <w:rPr>
          <w:sz w:val="18"/>
          <w:szCs w:val="18"/>
        </w:rPr>
        <w:t>em</w:t>
      </w:r>
      <w:r w:rsidRPr="005B475A">
        <w:rPr>
          <w:sz w:val="18"/>
          <w:szCs w:val="18"/>
        </w:rPr>
        <w:t xml:space="preserve"> należności;</w:t>
      </w:r>
    </w:p>
    <w:p w:rsidR="00D67D5A" w:rsidRPr="005B475A" w:rsidRDefault="00D54177" w:rsidP="00D67D5A">
      <w:pPr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 w:rsidRPr="005B475A">
        <w:rPr>
          <w:sz w:val="18"/>
          <w:szCs w:val="18"/>
        </w:rPr>
        <w:t xml:space="preserve">Inne ważne dla biegu sprawy kopie dokumentów </w:t>
      </w:r>
      <w:r w:rsidR="00D67D5A" w:rsidRPr="005B475A">
        <w:rPr>
          <w:sz w:val="18"/>
          <w:szCs w:val="18"/>
        </w:rPr>
        <w:t>m.in.:</w:t>
      </w:r>
      <w:r w:rsidRPr="005B475A">
        <w:rPr>
          <w:sz w:val="18"/>
          <w:szCs w:val="18"/>
        </w:rPr>
        <w:t xml:space="preserve"> </w:t>
      </w:r>
      <w:r w:rsidR="006F1C3D" w:rsidRPr="005B475A">
        <w:rPr>
          <w:sz w:val="18"/>
          <w:szCs w:val="18"/>
        </w:rPr>
        <w:t xml:space="preserve">dowody wpłaty, </w:t>
      </w:r>
      <w:r w:rsidRPr="005B475A">
        <w:rPr>
          <w:sz w:val="18"/>
          <w:szCs w:val="18"/>
        </w:rPr>
        <w:t>deklaracje, oświadczenia beneficjenta, pisma</w:t>
      </w:r>
      <w:r w:rsidR="00D67D5A" w:rsidRPr="005B475A">
        <w:rPr>
          <w:sz w:val="18"/>
          <w:szCs w:val="18"/>
        </w:rPr>
        <w:t xml:space="preserve">, </w:t>
      </w:r>
      <w:r w:rsidRPr="005B475A">
        <w:rPr>
          <w:sz w:val="18"/>
          <w:szCs w:val="18"/>
        </w:rPr>
        <w:t xml:space="preserve">podpisany przez beneficjenta protokół z kontroli lub inny dokument, </w:t>
      </w:r>
      <w:r w:rsidR="00D67D5A" w:rsidRPr="005B475A">
        <w:rPr>
          <w:sz w:val="18"/>
          <w:szCs w:val="18"/>
        </w:rPr>
        <w:br/>
      </w:r>
      <w:r w:rsidRPr="005B475A">
        <w:rPr>
          <w:sz w:val="18"/>
          <w:szCs w:val="18"/>
        </w:rPr>
        <w:t xml:space="preserve">w którym beneficjent potwierdza ustalenia </w:t>
      </w:r>
      <w:r w:rsidR="00D67D5A" w:rsidRPr="005B475A">
        <w:rPr>
          <w:sz w:val="18"/>
          <w:szCs w:val="18"/>
        </w:rPr>
        <w:t xml:space="preserve">z </w:t>
      </w:r>
      <w:r w:rsidRPr="005B475A">
        <w:rPr>
          <w:sz w:val="18"/>
          <w:szCs w:val="18"/>
        </w:rPr>
        <w:t>kontroli – kopie poświa</w:t>
      </w:r>
      <w:r w:rsidR="00D67D5A" w:rsidRPr="005B475A">
        <w:rPr>
          <w:sz w:val="18"/>
          <w:szCs w:val="18"/>
        </w:rPr>
        <w:t xml:space="preserve">dczone za zgodność </w:t>
      </w:r>
      <w:r w:rsidR="001A608F" w:rsidRPr="005B475A">
        <w:rPr>
          <w:sz w:val="18"/>
          <w:szCs w:val="18"/>
        </w:rPr>
        <w:br/>
      </w:r>
      <w:r w:rsidR="00D67D5A" w:rsidRPr="005B475A">
        <w:rPr>
          <w:sz w:val="18"/>
          <w:szCs w:val="18"/>
        </w:rPr>
        <w:t>z oryginałem, (o ile występuje w sprawie);</w:t>
      </w:r>
    </w:p>
    <w:p w:rsidR="00EE2A50" w:rsidRPr="0028071F" w:rsidRDefault="009733AA" w:rsidP="00D54177">
      <w:pPr>
        <w:spacing w:line="276" w:lineRule="auto"/>
        <w:jc w:val="both"/>
        <w:rPr>
          <w:sz w:val="22"/>
          <w:szCs w:val="22"/>
        </w:rPr>
      </w:pPr>
      <w:r w:rsidRPr="0028071F">
        <w:rPr>
          <w:sz w:val="22"/>
          <w:szCs w:val="22"/>
        </w:rPr>
        <w:t xml:space="preserve"> </w:t>
      </w:r>
      <w:r w:rsidR="00FC14AE" w:rsidRPr="0028071F">
        <w:rPr>
          <w:sz w:val="22"/>
          <w:szCs w:val="22"/>
        </w:rPr>
        <w:t xml:space="preserve"> </w:t>
      </w:r>
    </w:p>
    <w:p w:rsidR="001E48C3" w:rsidRDefault="001E48C3" w:rsidP="001E48C3">
      <w:pPr>
        <w:pStyle w:val="Akapitzlist"/>
        <w:numPr>
          <w:ilvl w:val="0"/>
          <w:numId w:val="10"/>
        </w:numPr>
        <w:spacing w:line="276" w:lineRule="auto"/>
        <w:jc w:val="both"/>
        <w:rPr>
          <w:color w:val="000000"/>
          <w:sz w:val="22"/>
          <w:szCs w:val="22"/>
        </w:rPr>
      </w:pPr>
      <w:r w:rsidRPr="0028071F">
        <w:rPr>
          <w:color w:val="000000"/>
          <w:sz w:val="22"/>
          <w:szCs w:val="22"/>
        </w:rPr>
        <w:t xml:space="preserve">DDD ARiMR przekaże do DZN ARiMR dokument zgłoszenia należności </w:t>
      </w:r>
      <w:r w:rsidR="00EA54EE">
        <w:rPr>
          <w:color w:val="000000"/>
          <w:sz w:val="22"/>
          <w:szCs w:val="22"/>
        </w:rPr>
        <w:br/>
      </w:r>
      <w:r w:rsidRPr="0028071F">
        <w:rPr>
          <w:color w:val="000000"/>
          <w:sz w:val="22"/>
          <w:szCs w:val="22"/>
        </w:rPr>
        <w:t>ZW-1/12</w:t>
      </w:r>
      <w:r w:rsidR="00E4156D" w:rsidRPr="00E4156D">
        <w:rPr>
          <w:color w:val="000000"/>
          <w:sz w:val="22"/>
          <w:szCs w:val="22"/>
        </w:rPr>
        <w:t xml:space="preserve"> </w:t>
      </w:r>
      <w:r w:rsidR="00E4156D">
        <w:rPr>
          <w:color w:val="000000"/>
          <w:sz w:val="22"/>
          <w:szCs w:val="22"/>
        </w:rPr>
        <w:t>wraz z</w:t>
      </w:r>
      <w:r w:rsidR="00E4156D" w:rsidRPr="0028071F">
        <w:rPr>
          <w:color w:val="000000"/>
          <w:sz w:val="22"/>
          <w:szCs w:val="22"/>
        </w:rPr>
        <w:t xml:space="preserve"> komplet</w:t>
      </w:r>
      <w:r w:rsidR="00E4156D">
        <w:rPr>
          <w:color w:val="000000"/>
          <w:sz w:val="22"/>
          <w:szCs w:val="22"/>
        </w:rPr>
        <w:t>em</w:t>
      </w:r>
      <w:r w:rsidR="00E4156D" w:rsidRPr="0028071F">
        <w:rPr>
          <w:color w:val="000000"/>
          <w:sz w:val="22"/>
          <w:szCs w:val="22"/>
        </w:rPr>
        <w:t xml:space="preserve"> dokumentacji</w:t>
      </w:r>
      <w:r w:rsidRPr="0028071F">
        <w:rPr>
          <w:color w:val="000000"/>
          <w:sz w:val="22"/>
          <w:szCs w:val="22"/>
        </w:rPr>
        <w:t xml:space="preserve">. </w:t>
      </w:r>
    </w:p>
    <w:p w:rsidR="00BC15F1" w:rsidRDefault="005722F5" w:rsidP="00D54177">
      <w:pPr>
        <w:pStyle w:val="Akapitzlist"/>
        <w:numPr>
          <w:ilvl w:val="0"/>
          <w:numId w:val="10"/>
        </w:numPr>
        <w:spacing w:before="240" w:line="276" w:lineRule="auto"/>
        <w:jc w:val="both"/>
      </w:pPr>
      <w:r w:rsidRPr="007600E5">
        <w:rPr>
          <w:color w:val="000000"/>
          <w:sz w:val="22"/>
          <w:szCs w:val="22"/>
        </w:rPr>
        <w:t xml:space="preserve">DZN ARiMR przekazuje do podmiotów wdrażających w formie papierowej informację </w:t>
      </w:r>
      <w:r w:rsidRPr="007600E5">
        <w:rPr>
          <w:color w:val="000000"/>
          <w:sz w:val="22"/>
          <w:szCs w:val="22"/>
        </w:rPr>
        <w:br/>
        <w:t>o zakończonych postępowaniach windykacyjnych oraz do wiadomości DDD ARiMR.</w:t>
      </w:r>
    </w:p>
    <w:sectPr w:rsidR="00BC15F1" w:rsidSect="003F4F94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821" w:rsidRDefault="00727821" w:rsidP="00227432">
      <w:r>
        <w:separator/>
      </w:r>
    </w:p>
  </w:endnote>
  <w:endnote w:type="continuationSeparator" w:id="0">
    <w:p w:rsidR="00727821" w:rsidRDefault="00727821" w:rsidP="00227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AE" w:rsidRDefault="00922AAE" w:rsidP="00922AAE">
    <w:pPr>
      <w:pStyle w:val="Stopka"/>
      <w:pBdr>
        <w:top w:val="single" w:sz="4" w:space="1" w:color="auto"/>
      </w:pBdr>
      <w:tabs>
        <w:tab w:val="left" w:pos="708"/>
      </w:tabs>
      <w:jc w:val="center"/>
      <w:rPr>
        <w:b/>
        <w:sz w:val="18"/>
      </w:rPr>
    </w:pPr>
    <w:r>
      <w:rPr>
        <w:b/>
        <w:sz w:val="18"/>
      </w:rPr>
      <w:t>KP-611-363-ARiMR/1/z</w:t>
    </w:r>
  </w:p>
  <w:p w:rsidR="00922AAE" w:rsidRDefault="00922AAE" w:rsidP="00922AAE">
    <w:pPr>
      <w:pStyle w:val="Stopka"/>
      <w:pBdr>
        <w:top w:val="single" w:sz="4" w:space="1" w:color="auto"/>
      </w:pBdr>
      <w:tabs>
        <w:tab w:val="left" w:pos="708"/>
      </w:tabs>
      <w:jc w:val="center"/>
    </w:pPr>
    <w:r>
      <w:rPr>
        <w:sz w:val="18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sz w:val="18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3F4F94" w:rsidRDefault="003F4F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AE" w:rsidRDefault="00922AAE" w:rsidP="00922AAE">
    <w:pPr>
      <w:pStyle w:val="Stopka"/>
      <w:pBdr>
        <w:top w:val="single" w:sz="4" w:space="1" w:color="auto"/>
      </w:pBdr>
      <w:tabs>
        <w:tab w:val="left" w:pos="708"/>
      </w:tabs>
      <w:jc w:val="center"/>
      <w:rPr>
        <w:b/>
        <w:sz w:val="18"/>
      </w:rPr>
    </w:pPr>
    <w:r>
      <w:rPr>
        <w:b/>
        <w:sz w:val="18"/>
      </w:rPr>
      <w:t>KP-611-363-ARiMR/1/z</w:t>
    </w:r>
  </w:p>
  <w:p w:rsidR="00922AAE" w:rsidRDefault="00922AAE" w:rsidP="00922AAE">
    <w:pPr>
      <w:pStyle w:val="Stopka"/>
      <w:pBdr>
        <w:top w:val="single" w:sz="4" w:space="1" w:color="auto"/>
      </w:pBdr>
      <w:tabs>
        <w:tab w:val="left" w:pos="708"/>
      </w:tabs>
      <w:jc w:val="center"/>
    </w:pPr>
    <w:r>
      <w:rPr>
        <w:sz w:val="18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sz w:val="18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6A651B" w:rsidRDefault="006A65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821" w:rsidRDefault="00727821" w:rsidP="00227432">
      <w:r>
        <w:separator/>
      </w:r>
    </w:p>
  </w:footnote>
  <w:footnote w:type="continuationSeparator" w:id="0">
    <w:p w:rsidR="00727821" w:rsidRDefault="00727821" w:rsidP="00227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2256"/>
    <w:multiLevelType w:val="hybridMultilevel"/>
    <w:tmpl w:val="D6FAE6E8"/>
    <w:lvl w:ilvl="0" w:tplc="D06C34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AEF2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425E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6DD1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EBB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4C81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08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E21E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0DA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FB1FC7"/>
    <w:multiLevelType w:val="hybridMultilevel"/>
    <w:tmpl w:val="816A3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B779C"/>
    <w:multiLevelType w:val="hybridMultilevel"/>
    <w:tmpl w:val="EFF89A58"/>
    <w:lvl w:ilvl="0" w:tplc="0415000F">
      <w:start w:val="1"/>
      <w:numFmt w:val="decimal"/>
      <w:lvlText w:val="%1.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128E0A64"/>
    <w:multiLevelType w:val="hybridMultilevel"/>
    <w:tmpl w:val="BDCCBF56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17E55579"/>
    <w:multiLevelType w:val="hybridMultilevel"/>
    <w:tmpl w:val="C6C89FEE"/>
    <w:lvl w:ilvl="0" w:tplc="06869968">
      <w:start w:val="1"/>
      <w:numFmt w:val="lowerLetter"/>
      <w:lvlText w:val="%1)"/>
      <w:lvlJc w:val="left"/>
      <w:pPr>
        <w:ind w:left="108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310F81"/>
    <w:multiLevelType w:val="hybridMultilevel"/>
    <w:tmpl w:val="8EEC5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33A2F"/>
    <w:multiLevelType w:val="hybridMultilevel"/>
    <w:tmpl w:val="C2B2E272"/>
    <w:lvl w:ilvl="0" w:tplc="D2FCB8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28A7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2466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00231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4E6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144B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857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30ED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BE03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53420"/>
    <w:multiLevelType w:val="hybridMultilevel"/>
    <w:tmpl w:val="F230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11F60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>
    <w:nsid w:val="2CC54BA1"/>
    <w:multiLevelType w:val="hybridMultilevel"/>
    <w:tmpl w:val="2E8E4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37735A"/>
    <w:multiLevelType w:val="hybridMultilevel"/>
    <w:tmpl w:val="2EE8019E"/>
    <w:lvl w:ilvl="0" w:tplc="54940F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8E31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BE83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72CC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3CA46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E0F9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AE2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F64E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B26E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AB6744"/>
    <w:multiLevelType w:val="hybridMultilevel"/>
    <w:tmpl w:val="BDF054A6"/>
    <w:lvl w:ilvl="0" w:tplc="E8EC3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A3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2B8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C025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4EB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7E91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6610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0C68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6BE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186498"/>
    <w:multiLevelType w:val="hybridMultilevel"/>
    <w:tmpl w:val="3880D2FA"/>
    <w:lvl w:ilvl="0" w:tplc="4B903FB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231AF2"/>
    <w:multiLevelType w:val="hybridMultilevel"/>
    <w:tmpl w:val="424CB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60582"/>
    <w:multiLevelType w:val="hybridMultilevel"/>
    <w:tmpl w:val="9B744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E36C8"/>
    <w:multiLevelType w:val="hybridMultilevel"/>
    <w:tmpl w:val="02C8F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465889"/>
    <w:multiLevelType w:val="hybridMultilevel"/>
    <w:tmpl w:val="99CEF798"/>
    <w:lvl w:ilvl="0" w:tplc="3EF25B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CAF7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CA12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01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92A7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4E76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5818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24BC3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3074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C616C5"/>
    <w:multiLevelType w:val="hybridMultilevel"/>
    <w:tmpl w:val="67000504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18">
    <w:nsid w:val="55E62B46"/>
    <w:multiLevelType w:val="hybridMultilevel"/>
    <w:tmpl w:val="A88EF1B2"/>
    <w:lvl w:ilvl="0" w:tplc="BE10EC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4871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668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E6A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200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72ED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C2784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088B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5A7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0C1570"/>
    <w:multiLevelType w:val="hybridMultilevel"/>
    <w:tmpl w:val="26C6E8D2"/>
    <w:lvl w:ilvl="0" w:tplc="715A09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9439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9254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0C1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1ABE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4CBD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6CC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04A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0E1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2E18CC"/>
    <w:multiLevelType w:val="hybridMultilevel"/>
    <w:tmpl w:val="EE6C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C1CBC"/>
    <w:multiLevelType w:val="hybridMultilevel"/>
    <w:tmpl w:val="033EDD0E"/>
    <w:lvl w:ilvl="0" w:tplc="F08CE162">
      <w:start w:val="1"/>
      <w:numFmt w:val="decimal"/>
      <w:lvlText w:val="%1"/>
      <w:lvlJc w:val="left"/>
      <w:pPr>
        <w:ind w:left="106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5F6717"/>
    <w:multiLevelType w:val="hybridMultilevel"/>
    <w:tmpl w:val="31366540"/>
    <w:lvl w:ilvl="0" w:tplc="9F7A84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E57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F61E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AC38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E8D46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6878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C4C7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0ACF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0C20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7578B"/>
    <w:multiLevelType w:val="hybridMultilevel"/>
    <w:tmpl w:val="4DBE0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66BF6F75"/>
    <w:multiLevelType w:val="hybridMultilevel"/>
    <w:tmpl w:val="5DAC2498"/>
    <w:lvl w:ilvl="0" w:tplc="3E3A95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E8C1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5EA4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5E9F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EAA96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EFB6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C52B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252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809C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BE72DD"/>
    <w:multiLevelType w:val="hybridMultilevel"/>
    <w:tmpl w:val="4E68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5"/>
  </w:num>
  <w:num w:numId="4">
    <w:abstractNumId w:val="15"/>
  </w:num>
  <w:num w:numId="5">
    <w:abstractNumId w:val="7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1"/>
  </w:num>
  <w:num w:numId="9">
    <w:abstractNumId w:val="1"/>
  </w:num>
  <w:num w:numId="10">
    <w:abstractNumId w:val="12"/>
  </w:num>
  <w:num w:numId="11">
    <w:abstractNumId w:val="14"/>
  </w:num>
  <w:num w:numId="12">
    <w:abstractNumId w:val="18"/>
  </w:num>
  <w:num w:numId="13">
    <w:abstractNumId w:val="0"/>
  </w:num>
  <w:num w:numId="14">
    <w:abstractNumId w:val="19"/>
  </w:num>
  <w:num w:numId="15">
    <w:abstractNumId w:val="22"/>
  </w:num>
  <w:num w:numId="16">
    <w:abstractNumId w:val="24"/>
  </w:num>
  <w:num w:numId="17">
    <w:abstractNumId w:val="11"/>
  </w:num>
  <w:num w:numId="18">
    <w:abstractNumId w:val="10"/>
  </w:num>
  <w:num w:numId="19">
    <w:abstractNumId w:val="16"/>
  </w:num>
  <w:num w:numId="20">
    <w:abstractNumId w:val="8"/>
  </w:num>
  <w:num w:numId="21">
    <w:abstractNumId w:val="3"/>
  </w:num>
  <w:num w:numId="22">
    <w:abstractNumId w:val="2"/>
  </w:num>
  <w:num w:numId="23">
    <w:abstractNumId w:val="17"/>
  </w:num>
  <w:num w:numId="24">
    <w:abstractNumId w:val="4"/>
  </w:num>
  <w:num w:numId="25">
    <w:abstractNumId w:val="2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117B5B"/>
    <w:rsid w:val="000057B1"/>
    <w:rsid w:val="00011D0A"/>
    <w:rsid w:val="000167C9"/>
    <w:rsid w:val="00016B79"/>
    <w:rsid w:val="00031CE5"/>
    <w:rsid w:val="00033872"/>
    <w:rsid w:val="00047905"/>
    <w:rsid w:val="00060BBE"/>
    <w:rsid w:val="00066232"/>
    <w:rsid w:val="000669BE"/>
    <w:rsid w:val="000704D1"/>
    <w:rsid w:val="0007770B"/>
    <w:rsid w:val="00082571"/>
    <w:rsid w:val="00082700"/>
    <w:rsid w:val="00082CC6"/>
    <w:rsid w:val="000838B0"/>
    <w:rsid w:val="00093619"/>
    <w:rsid w:val="00094121"/>
    <w:rsid w:val="000B6453"/>
    <w:rsid w:val="000B7028"/>
    <w:rsid w:val="000C46A1"/>
    <w:rsid w:val="000C4E8A"/>
    <w:rsid w:val="000C55FF"/>
    <w:rsid w:val="000E05F9"/>
    <w:rsid w:val="000E52E4"/>
    <w:rsid w:val="000F2FCB"/>
    <w:rsid w:val="000F4C27"/>
    <w:rsid w:val="000F5208"/>
    <w:rsid w:val="00101418"/>
    <w:rsid w:val="001067BE"/>
    <w:rsid w:val="001148E1"/>
    <w:rsid w:val="00117B5B"/>
    <w:rsid w:val="00131B10"/>
    <w:rsid w:val="00133A61"/>
    <w:rsid w:val="00135316"/>
    <w:rsid w:val="00137169"/>
    <w:rsid w:val="001413D6"/>
    <w:rsid w:val="00175D17"/>
    <w:rsid w:val="00180103"/>
    <w:rsid w:val="00185917"/>
    <w:rsid w:val="00186118"/>
    <w:rsid w:val="0019360C"/>
    <w:rsid w:val="001956C2"/>
    <w:rsid w:val="00197E42"/>
    <w:rsid w:val="001A358D"/>
    <w:rsid w:val="001A608F"/>
    <w:rsid w:val="001B2FC9"/>
    <w:rsid w:val="001B3F1E"/>
    <w:rsid w:val="001C2D6B"/>
    <w:rsid w:val="001C408B"/>
    <w:rsid w:val="001D4D1C"/>
    <w:rsid w:val="001D79EE"/>
    <w:rsid w:val="001E03A6"/>
    <w:rsid w:val="001E48C3"/>
    <w:rsid w:val="001F14E4"/>
    <w:rsid w:val="001F5005"/>
    <w:rsid w:val="001F5803"/>
    <w:rsid w:val="00201B8C"/>
    <w:rsid w:val="00224335"/>
    <w:rsid w:val="00227432"/>
    <w:rsid w:val="002313AB"/>
    <w:rsid w:val="002328E0"/>
    <w:rsid w:val="00236C0A"/>
    <w:rsid w:val="002408CB"/>
    <w:rsid w:val="002423DB"/>
    <w:rsid w:val="00251DD1"/>
    <w:rsid w:val="002549E0"/>
    <w:rsid w:val="00263B6F"/>
    <w:rsid w:val="00266C7A"/>
    <w:rsid w:val="002726E8"/>
    <w:rsid w:val="0028071F"/>
    <w:rsid w:val="00283735"/>
    <w:rsid w:val="0029149E"/>
    <w:rsid w:val="00291A31"/>
    <w:rsid w:val="0029307C"/>
    <w:rsid w:val="0029390C"/>
    <w:rsid w:val="00294505"/>
    <w:rsid w:val="00296B97"/>
    <w:rsid w:val="002A011D"/>
    <w:rsid w:val="002A336E"/>
    <w:rsid w:val="002A6B46"/>
    <w:rsid w:val="002A7639"/>
    <w:rsid w:val="002B2F57"/>
    <w:rsid w:val="002B7E6C"/>
    <w:rsid w:val="002C265B"/>
    <w:rsid w:val="002C4679"/>
    <w:rsid w:val="002E32BB"/>
    <w:rsid w:val="002E4306"/>
    <w:rsid w:val="002F1ECB"/>
    <w:rsid w:val="00302EC4"/>
    <w:rsid w:val="0030481A"/>
    <w:rsid w:val="00313499"/>
    <w:rsid w:val="00316758"/>
    <w:rsid w:val="00320D2B"/>
    <w:rsid w:val="00327E2F"/>
    <w:rsid w:val="00330563"/>
    <w:rsid w:val="00331FD0"/>
    <w:rsid w:val="00336659"/>
    <w:rsid w:val="00345031"/>
    <w:rsid w:val="0034533C"/>
    <w:rsid w:val="003458E7"/>
    <w:rsid w:val="003558B8"/>
    <w:rsid w:val="00363890"/>
    <w:rsid w:val="00365D01"/>
    <w:rsid w:val="0037053B"/>
    <w:rsid w:val="00373FAA"/>
    <w:rsid w:val="0037723F"/>
    <w:rsid w:val="00380CAC"/>
    <w:rsid w:val="00381BFB"/>
    <w:rsid w:val="003A0ABE"/>
    <w:rsid w:val="003A1F52"/>
    <w:rsid w:val="003A348B"/>
    <w:rsid w:val="003B7174"/>
    <w:rsid w:val="003C3151"/>
    <w:rsid w:val="003D0AB7"/>
    <w:rsid w:val="003D4077"/>
    <w:rsid w:val="003E7095"/>
    <w:rsid w:val="003E7DF0"/>
    <w:rsid w:val="003F23C1"/>
    <w:rsid w:val="003F4F94"/>
    <w:rsid w:val="003F5DCA"/>
    <w:rsid w:val="0041041B"/>
    <w:rsid w:val="00410B6C"/>
    <w:rsid w:val="00411D1F"/>
    <w:rsid w:val="00416309"/>
    <w:rsid w:val="00421258"/>
    <w:rsid w:val="00423696"/>
    <w:rsid w:val="004247AD"/>
    <w:rsid w:val="00424A24"/>
    <w:rsid w:val="00430E23"/>
    <w:rsid w:val="00433443"/>
    <w:rsid w:val="004405DC"/>
    <w:rsid w:val="00443877"/>
    <w:rsid w:val="0044476C"/>
    <w:rsid w:val="004721CF"/>
    <w:rsid w:val="00472E44"/>
    <w:rsid w:val="004822AF"/>
    <w:rsid w:val="00482848"/>
    <w:rsid w:val="004863A9"/>
    <w:rsid w:val="00490613"/>
    <w:rsid w:val="004914EB"/>
    <w:rsid w:val="004954C6"/>
    <w:rsid w:val="004B7D22"/>
    <w:rsid w:val="004D3ED1"/>
    <w:rsid w:val="004D4291"/>
    <w:rsid w:val="004E090C"/>
    <w:rsid w:val="004E2138"/>
    <w:rsid w:val="004E46D6"/>
    <w:rsid w:val="004F721A"/>
    <w:rsid w:val="0050027A"/>
    <w:rsid w:val="0050409E"/>
    <w:rsid w:val="00507205"/>
    <w:rsid w:val="00511CA9"/>
    <w:rsid w:val="005122BD"/>
    <w:rsid w:val="005161E8"/>
    <w:rsid w:val="00517215"/>
    <w:rsid w:val="00527103"/>
    <w:rsid w:val="00527A27"/>
    <w:rsid w:val="0053427E"/>
    <w:rsid w:val="005347E1"/>
    <w:rsid w:val="00535741"/>
    <w:rsid w:val="005429C4"/>
    <w:rsid w:val="005468DA"/>
    <w:rsid w:val="00557CCE"/>
    <w:rsid w:val="00565ADB"/>
    <w:rsid w:val="00571AC9"/>
    <w:rsid w:val="005722F5"/>
    <w:rsid w:val="0057562C"/>
    <w:rsid w:val="00576B5F"/>
    <w:rsid w:val="005777D2"/>
    <w:rsid w:val="00584666"/>
    <w:rsid w:val="00587365"/>
    <w:rsid w:val="00591BE1"/>
    <w:rsid w:val="00593401"/>
    <w:rsid w:val="0059476B"/>
    <w:rsid w:val="005A0387"/>
    <w:rsid w:val="005A0C12"/>
    <w:rsid w:val="005A4A82"/>
    <w:rsid w:val="005B475A"/>
    <w:rsid w:val="005B4D02"/>
    <w:rsid w:val="005B6BDD"/>
    <w:rsid w:val="005B784D"/>
    <w:rsid w:val="005C00EF"/>
    <w:rsid w:val="005C2988"/>
    <w:rsid w:val="005C7D3B"/>
    <w:rsid w:val="005D6F48"/>
    <w:rsid w:val="005E007C"/>
    <w:rsid w:val="005E3192"/>
    <w:rsid w:val="005E66E0"/>
    <w:rsid w:val="005F4E46"/>
    <w:rsid w:val="005F72C1"/>
    <w:rsid w:val="00600988"/>
    <w:rsid w:val="0060584E"/>
    <w:rsid w:val="00612DFC"/>
    <w:rsid w:val="00617EAE"/>
    <w:rsid w:val="006233E9"/>
    <w:rsid w:val="00635219"/>
    <w:rsid w:val="00642173"/>
    <w:rsid w:val="0065174F"/>
    <w:rsid w:val="00655C7C"/>
    <w:rsid w:val="00663D7F"/>
    <w:rsid w:val="0066723E"/>
    <w:rsid w:val="00671DE3"/>
    <w:rsid w:val="0067578C"/>
    <w:rsid w:val="00677B0D"/>
    <w:rsid w:val="00682910"/>
    <w:rsid w:val="00683825"/>
    <w:rsid w:val="00696A0D"/>
    <w:rsid w:val="00697C8E"/>
    <w:rsid w:val="006A0D96"/>
    <w:rsid w:val="006A5355"/>
    <w:rsid w:val="006A651B"/>
    <w:rsid w:val="006B0443"/>
    <w:rsid w:val="006B7BA5"/>
    <w:rsid w:val="006B7DA2"/>
    <w:rsid w:val="006C24D4"/>
    <w:rsid w:val="006E6FFC"/>
    <w:rsid w:val="006F1C3D"/>
    <w:rsid w:val="006F296C"/>
    <w:rsid w:val="00706048"/>
    <w:rsid w:val="0071737B"/>
    <w:rsid w:val="00720A84"/>
    <w:rsid w:val="00727821"/>
    <w:rsid w:val="007477A4"/>
    <w:rsid w:val="00751F85"/>
    <w:rsid w:val="007600E5"/>
    <w:rsid w:val="00763FEC"/>
    <w:rsid w:val="00766940"/>
    <w:rsid w:val="00770ECB"/>
    <w:rsid w:val="0078009D"/>
    <w:rsid w:val="00782A37"/>
    <w:rsid w:val="00794681"/>
    <w:rsid w:val="00794C49"/>
    <w:rsid w:val="007A16C6"/>
    <w:rsid w:val="007B28CB"/>
    <w:rsid w:val="007B56B7"/>
    <w:rsid w:val="007B6CC7"/>
    <w:rsid w:val="007B71C9"/>
    <w:rsid w:val="007D3180"/>
    <w:rsid w:val="007D4C6A"/>
    <w:rsid w:val="007D61A8"/>
    <w:rsid w:val="007D792E"/>
    <w:rsid w:val="007E53AB"/>
    <w:rsid w:val="007E7FA4"/>
    <w:rsid w:val="007F6225"/>
    <w:rsid w:val="007F6274"/>
    <w:rsid w:val="007F63B2"/>
    <w:rsid w:val="00800357"/>
    <w:rsid w:val="0080179D"/>
    <w:rsid w:val="008136A7"/>
    <w:rsid w:val="008172BF"/>
    <w:rsid w:val="0082202F"/>
    <w:rsid w:val="00826554"/>
    <w:rsid w:val="00840B15"/>
    <w:rsid w:val="008459C3"/>
    <w:rsid w:val="008473F0"/>
    <w:rsid w:val="00847E01"/>
    <w:rsid w:val="0085191D"/>
    <w:rsid w:val="00854585"/>
    <w:rsid w:val="008558B7"/>
    <w:rsid w:val="008603D7"/>
    <w:rsid w:val="008641C1"/>
    <w:rsid w:val="008729C0"/>
    <w:rsid w:val="00875FA5"/>
    <w:rsid w:val="00892F29"/>
    <w:rsid w:val="00894ED2"/>
    <w:rsid w:val="008A45BE"/>
    <w:rsid w:val="008A60EB"/>
    <w:rsid w:val="008C056C"/>
    <w:rsid w:val="008C0BAB"/>
    <w:rsid w:val="008C27BF"/>
    <w:rsid w:val="008E54E2"/>
    <w:rsid w:val="008E75EC"/>
    <w:rsid w:val="0090568A"/>
    <w:rsid w:val="009073D8"/>
    <w:rsid w:val="0091364E"/>
    <w:rsid w:val="00922AAE"/>
    <w:rsid w:val="00924760"/>
    <w:rsid w:val="00925F78"/>
    <w:rsid w:val="00927453"/>
    <w:rsid w:val="009321E3"/>
    <w:rsid w:val="00934764"/>
    <w:rsid w:val="0093529C"/>
    <w:rsid w:val="0093702A"/>
    <w:rsid w:val="009419EA"/>
    <w:rsid w:val="00951413"/>
    <w:rsid w:val="00957F70"/>
    <w:rsid w:val="00961264"/>
    <w:rsid w:val="009733AA"/>
    <w:rsid w:val="009801B1"/>
    <w:rsid w:val="009841BA"/>
    <w:rsid w:val="00984942"/>
    <w:rsid w:val="00984D77"/>
    <w:rsid w:val="00994571"/>
    <w:rsid w:val="009A0E44"/>
    <w:rsid w:val="009A1406"/>
    <w:rsid w:val="009B7AA5"/>
    <w:rsid w:val="009C02F1"/>
    <w:rsid w:val="009C27F6"/>
    <w:rsid w:val="009C2A71"/>
    <w:rsid w:val="009C3864"/>
    <w:rsid w:val="009C7A02"/>
    <w:rsid w:val="009E74EF"/>
    <w:rsid w:val="009F18F1"/>
    <w:rsid w:val="009F4C00"/>
    <w:rsid w:val="00A056DB"/>
    <w:rsid w:val="00A163AC"/>
    <w:rsid w:val="00A21E10"/>
    <w:rsid w:val="00A25B1C"/>
    <w:rsid w:val="00A322BD"/>
    <w:rsid w:val="00A3426C"/>
    <w:rsid w:val="00A37ABA"/>
    <w:rsid w:val="00A41122"/>
    <w:rsid w:val="00A458F0"/>
    <w:rsid w:val="00A529AB"/>
    <w:rsid w:val="00A561A9"/>
    <w:rsid w:val="00A600D8"/>
    <w:rsid w:val="00A73121"/>
    <w:rsid w:val="00A73B06"/>
    <w:rsid w:val="00A8417C"/>
    <w:rsid w:val="00A9079F"/>
    <w:rsid w:val="00A91557"/>
    <w:rsid w:val="00A919DA"/>
    <w:rsid w:val="00A94451"/>
    <w:rsid w:val="00A956C6"/>
    <w:rsid w:val="00AA1514"/>
    <w:rsid w:val="00AA3C60"/>
    <w:rsid w:val="00AA3EC2"/>
    <w:rsid w:val="00AB24C0"/>
    <w:rsid w:val="00AB5374"/>
    <w:rsid w:val="00AC5BB2"/>
    <w:rsid w:val="00AD07D1"/>
    <w:rsid w:val="00AD2952"/>
    <w:rsid w:val="00AE4113"/>
    <w:rsid w:val="00AF1142"/>
    <w:rsid w:val="00B03999"/>
    <w:rsid w:val="00B0460A"/>
    <w:rsid w:val="00B064A9"/>
    <w:rsid w:val="00B10874"/>
    <w:rsid w:val="00B32780"/>
    <w:rsid w:val="00B37873"/>
    <w:rsid w:val="00B40B83"/>
    <w:rsid w:val="00B40F73"/>
    <w:rsid w:val="00B53714"/>
    <w:rsid w:val="00B5490E"/>
    <w:rsid w:val="00B54B55"/>
    <w:rsid w:val="00B5735E"/>
    <w:rsid w:val="00B615BD"/>
    <w:rsid w:val="00B75195"/>
    <w:rsid w:val="00B75772"/>
    <w:rsid w:val="00B944CE"/>
    <w:rsid w:val="00BA0418"/>
    <w:rsid w:val="00BC15F1"/>
    <w:rsid w:val="00BC3479"/>
    <w:rsid w:val="00BD2418"/>
    <w:rsid w:val="00BE58CD"/>
    <w:rsid w:val="00BF3A94"/>
    <w:rsid w:val="00C01CF2"/>
    <w:rsid w:val="00C11EE8"/>
    <w:rsid w:val="00C12C9E"/>
    <w:rsid w:val="00C36C89"/>
    <w:rsid w:val="00C41AA3"/>
    <w:rsid w:val="00C44F3C"/>
    <w:rsid w:val="00C55914"/>
    <w:rsid w:val="00C65672"/>
    <w:rsid w:val="00C72F5D"/>
    <w:rsid w:val="00C73A01"/>
    <w:rsid w:val="00C85B3C"/>
    <w:rsid w:val="00C972C6"/>
    <w:rsid w:val="00C978DA"/>
    <w:rsid w:val="00CB022E"/>
    <w:rsid w:val="00CB096B"/>
    <w:rsid w:val="00CB3C96"/>
    <w:rsid w:val="00CC1DE2"/>
    <w:rsid w:val="00CC4B0B"/>
    <w:rsid w:val="00CC6A09"/>
    <w:rsid w:val="00CD2688"/>
    <w:rsid w:val="00CD3FEB"/>
    <w:rsid w:val="00CE42CB"/>
    <w:rsid w:val="00CE5691"/>
    <w:rsid w:val="00CF09E2"/>
    <w:rsid w:val="00CF5605"/>
    <w:rsid w:val="00CF5A72"/>
    <w:rsid w:val="00CF5C9C"/>
    <w:rsid w:val="00D0327A"/>
    <w:rsid w:val="00D26E56"/>
    <w:rsid w:val="00D30E5A"/>
    <w:rsid w:val="00D50AE3"/>
    <w:rsid w:val="00D54177"/>
    <w:rsid w:val="00D566F2"/>
    <w:rsid w:val="00D67D5A"/>
    <w:rsid w:val="00D7111C"/>
    <w:rsid w:val="00D812F6"/>
    <w:rsid w:val="00D940BF"/>
    <w:rsid w:val="00DA2D7B"/>
    <w:rsid w:val="00DA6820"/>
    <w:rsid w:val="00DA74C3"/>
    <w:rsid w:val="00DB2470"/>
    <w:rsid w:val="00DC3447"/>
    <w:rsid w:val="00DC56D9"/>
    <w:rsid w:val="00DC7525"/>
    <w:rsid w:val="00DD082E"/>
    <w:rsid w:val="00DD68E0"/>
    <w:rsid w:val="00DE15C8"/>
    <w:rsid w:val="00DF42ED"/>
    <w:rsid w:val="00E001D7"/>
    <w:rsid w:val="00E117B6"/>
    <w:rsid w:val="00E13B73"/>
    <w:rsid w:val="00E30C82"/>
    <w:rsid w:val="00E3445C"/>
    <w:rsid w:val="00E356C8"/>
    <w:rsid w:val="00E41239"/>
    <w:rsid w:val="00E4156D"/>
    <w:rsid w:val="00E45F1D"/>
    <w:rsid w:val="00E50B7A"/>
    <w:rsid w:val="00E57B54"/>
    <w:rsid w:val="00E603F5"/>
    <w:rsid w:val="00E64B3D"/>
    <w:rsid w:val="00E67BCE"/>
    <w:rsid w:val="00E746C1"/>
    <w:rsid w:val="00E765ED"/>
    <w:rsid w:val="00E81481"/>
    <w:rsid w:val="00E93687"/>
    <w:rsid w:val="00E976A3"/>
    <w:rsid w:val="00EA54EE"/>
    <w:rsid w:val="00EA5E29"/>
    <w:rsid w:val="00EB1796"/>
    <w:rsid w:val="00EB3DE0"/>
    <w:rsid w:val="00EC3BB8"/>
    <w:rsid w:val="00ED54F3"/>
    <w:rsid w:val="00EE0727"/>
    <w:rsid w:val="00EE2A50"/>
    <w:rsid w:val="00EE39BB"/>
    <w:rsid w:val="00EE5385"/>
    <w:rsid w:val="00EE67FA"/>
    <w:rsid w:val="00F03DEE"/>
    <w:rsid w:val="00F1192F"/>
    <w:rsid w:val="00F20697"/>
    <w:rsid w:val="00F21703"/>
    <w:rsid w:val="00F24520"/>
    <w:rsid w:val="00F26DBE"/>
    <w:rsid w:val="00F30594"/>
    <w:rsid w:val="00F33582"/>
    <w:rsid w:val="00F40649"/>
    <w:rsid w:val="00F42612"/>
    <w:rsid w:val="00F60457"/>
    <w:rsid w:val="00F67635"/>
    <w:rsid w:val="00F70CB0"/>
    <w:rsid w:val="00F71903"/>
    <w:rsid w:val="00F741AC"/>
    <w:rsid w:val="00F837B7"/>
    <w:rsid w:val="00F902DF"/>
    <w:rsid w:val="00F918B7"/>
    <w:rsid w:val="00F9759F"/>
    <w:rsid w:val="00FA0455"/>
    <w:rsid w:val="00FA413E"/>
    <w:rsid w:val="00FA59AC"/>
    <w:rsid w:val="00FB09E1"/>
    <w:rsid w:val="00FB50D3"/>
    <w:rsid w:val="00FC14AE"/>
    <w:rsid w:val="00FC313D"/>
    <w:rsid w:val="00FC44C4"/>
    <w:rsid w:val="00FD158A"/>
    <w:rsid w:val="00FD27D0"/>
    <w:rsid w:val="00FE3B78"/>
    <w:rsid w:val="00FF0B89"/>
    <w:rsid w:val="00FF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CC6A09"/>
    <w:rPr>
      <w:sz w:val="22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C6A09"/>
    <w:rPr>
      <w:sz w:val="22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27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743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27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743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6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6C8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587365"/>
  </w:style>
  <w:style w:type="character" w:styleId="Hipercze">
    <w:name w:val="Hyperlink"/>
    <w:basedOn w:val="Domylnaczcionkaakapitu"/>
    <w:uiPriority w:val="99"/>
    <w:rsid w:val="00682910"/>
    <w:rPr>
      <w:dstrike w:val="0"/>
      <w:color w:val="000000"/>
      <w:u w:val="none"/>
      <w:vertAlign w:val="baseline"/>
    </w:rPr>
  </w:style>
  <w:style w:type="paragraph" w:styleId="NormalnyWeb">
    <w:name w:val="Normal (Web)"/>
    <w:aliases w:val="Normalny (Web) Znak,Normalny (Web) Znak1 Znak,Normalny (Web) Znak Znak1 Znak"/>
    <w:basedOn w:val="Normalny"/>
    <w:uiPriority w:val="99"/>
    <w:rsid w:val="009C27F6"/>
    <w:pPr>
      <w:spacing w:before="100" w:after="100"/>
    </w:pPr>
    <w:rPr>
      <w:szCs w:val="20"/>
    </w:rPr>
  </w:style>
  <w:style w:type="paragraph" w:customStyle="1" w:styleId="Default">
    <w:name w:val="Default"/>
    <w:rsid w:val="00AA3E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A3EC2"/>
    <w:rPr>
      <w:color w:val="auto"/>
    </w:rPr>
  </w:style>
  <w:style w:type="paragraph" w:styleId="Spistreci5">
    <w:name w:val="toc 5"/>
    <w:basedOn w:val="Normalny"/>
    <w:next w:val="Normalny"/>
    <w:autoRedefine/>
    <w:semiHidden/>
    <w:rsid w:val="004D3ED1"/>
    <w:pPr>
      <w:spacing w:before="240"/>
      <w:ind w:left="960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56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6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6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6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6DB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B7028"/>
    <w:rPr>
      <w:rFonts w:ascii="Consolas" w:eastAsiaTheme="minorHAns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B7028"/>
    <w:rPr>
      <w:rFonts w:ascii="Consolas" w:eastAsiaTheme="minorHAns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5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31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199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168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773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70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252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6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883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524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32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629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78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603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322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200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3340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6571F-BC92-488A-B25D-5F009F48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13</cp:revision>
  <cp:lastPrinted>2014-09-15T11:07:00Z</cp:lastPrinted>
  <dcterms:created xsi:type="dcterms:W3CDTF">2015-04-22T09:04:00Z</dcterms:created>
  <dcterms:modified xsi:type="dcterms:W3CDTF">2015-07-07T07:39:00Z</dcterms:modified>
</cp:coreProperties>
</file>